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88C" w:rsidRPr="003B2694" w:rsidRDefault="006B320F" w:rsidP="003B2694">
      <w:pPr>
        <w:pStyle w:val="NoSpacing"/>
        <w:jc w:val="center"/>
        <w:rPr>
          <w:sz w:val="32"/>
        </w:rPr>
      </w:pPr>
      <w:r w:rsidRPr="003B2694">
        <w:rPr>
          <w:b/>
          <w:sz w:val="32"/>
          <w:u w:val="single"/>
        </w:rPr>
        <w:t xml:space="preserve">CORRIGENDUM – </w:t>
      </w:r>
      <w:r w:rsidR="00947758">
        <w:rPr>
          <w:b/>
          <w:sz w:val="32"/>
          <w:u w:val="single"/>
        </w:rPr>
        <w:t>C</w:t>
      </w:r>
      <w:r w:rsidRPr="003B2694">
        <w:rPr>
          <w:b/>
          <w:sz w:val="32"/>
          <w:u w:val="single"/>
        </w:rPr>
        <w:t>AIIB REVISED SYLLABUS</w:t>
      </w:r>
    </w:p>
    <w:p w:rsidR="003B2694" w:rsidRPr="003B2694" w:rsidRDefault="003B2694" w:rsidP="003B2694">
      <w:pPr>
        <w:pStyle w:val="NoSpacing"/>
        <w:rPr>
          <w:sz w:val="28"/>
        </w:rPr>
      </w:pPr>
    </w:p>
    <w:tbl>
      <w:tblPr>
        <w:tblStyle w:val="TableGrid"/>
        <w:tblW w:w="10529" w:type="dxa"/>
        <w:tblInd w:w="-455" w:type="dxa"/>
        <w:tblLook w:val="04A0" w:firstRow="1" w:lastRow="0" w:firstColumn="1" w:lastColumn="0" w:noHBand="0" w:noVBand="1"/>
      </w:tblPr>
      <w:tblGrid>
        <w:gridCol w:w="745"/>
        <w:gridCol w:w="847"/>
        <w:gridCol w:w="4765"/>
        <w:gridCol w:w="4172"/>
      </w:tblGrid>
      <w:tr w:rsidR="003B2694" w:rsidTr="004E23A1">
        <w:tc>
          <w:tcPr>
            <w:tcW w:w="10529" w:type="dxa"/>
            <w:gridSpan w:val="4"/>
          </w:tcPr>
          <w:p w:rsidR="003B2694" w:rsidRPr="006B676E" w:rsidRDefault="003B2694" w:rsidP="00D729C5">
            <w:pPr>
              <w:pStyle w:val="NoSpacing"/>
              <w:jc w:val="center"/>
              <w:rPr>
                <w:b/>
              </w:rPr>
            </w:pPr>
            <w:r w:rsidRPr="006B676E">
              <w:rPr>
                <w:b/>
                <w:sz w:val="28"/>
              </w:rPr>
              <w:t>A</w:t>
            </w:r>
            <w:r w:rsidR="00947758">
              <w:rPr>
                <w:b/>
                <w:sz w:val="28"/>
              </w:rPr>
              <w:t>dvanced Business Management (ABM)</w:t>
            </w:r>
          </w:p>
        </w:tc>
      </w:tr>
      <w:tr w:rsidR="003B2694" w:rsidTr="004E23A1">
        <w:tc>
          <w:tcPr>
            <w:tcW w:w="745" w:type="dxa"/>
          </w:tcPr>
          <w:p w:rsidR="003B2694" w:rsidRPr="003B2694" w:rsidRDefault="003B2694" w:rsidP="003B2694">
            <w:pPr>
              <w:pStyle w:val="NoSpacing"/>
              <w:jc w:val="center"/>
              <w:rPr>
                <w:b/>
                <w:sz w:val="24"/>
              </w:rPr>
            </w:pPr>
            <w:proofErr w:type="spellStart"/>
            <w:r w:rsidRPr="003B2694">
              <w:rPr>
                <w:b/>
                <w:sz w:val="24"/>
              </w:rPr>
              <w:t>S.No</w:t>
            </w:r>
            <w:proofErr w:type="spellEnd"/>
            <w:r w:rsidRPr="003B2694">
              <w:rPr>
                <w:b/>
                <w:sz w:val="24"/>
              </w:rPr>
              <w:t>.</w:t>
            </w:r>
          </w:p>
        </w:tc>
        <w:tc>
          <w:tcPr>
            <w:tcW w:w="847" w:type="dxa"/>
          </w:tcPr>
          <w:p w:rsidR="003B2694" w:rsidRPr="003B2694" w:rsidRDefault="003B2694" w:rsidP="003B2694">
            <w:pPr>
              <w:pStyle w:val="NoSpacing"/>
              <w:jc w:val="center"/>
              <w:rPr>
                <w:b/>
                <w:sz w:val="24"/>
              </w:rPr>
            </w:pPr>
            <w:r w:rsidRPr="003B2694">
              <w:rPr>
                <w:b/>
                <w:sz w:val="24"/>
              </w:rPr>
              <w:t>Pg. No.</w:t>
            </w:r>
          </w:p>
        </w:tc>
        <w:tc>
          <w:tcPr>
            <w:tcW w:w="4765" w:type="dxa"/>
          </w:tcPr>
          <w:p w:rsidR="003B2694" w:rsidRPr="003B2694" w:rsidRDefault="003B2694" w:rsidP="003B2694">
            <w:pPr>
              <w:pStyle w:val="NoSpacing"/>
              <w:jc w:val="center"/>
              <w:rPr>
                <w:b/>
                <w:sz w:val="24"/>
              </w:rPr>
            </w:pPr>
            <w:r w:rsidRPr="003B2694">
              <w:rPr>
                <w:b/>
                <w:sz w:val="24"/>
              </w:rPr>
              <w:t>Updated as</w:t>
            </w:r>
          </w:p>
        </w:tc>
        <w:tc>
          <w:tcPr>
            <w:tcW w:w="4172" w:type="dxa"/>
          </w:tcPr>
          <w:p w:rsidR="003B2694" w:rsidRPr="003B2694" w:rsidRDefault="003B2694" w:rsidP="003B2694">
            <w:pPr>
              <w:pStyle w:val="NoSpacing"/>
              <w:jc w:val="center"/>
              <w:rPr>
                <w:b/>
                <w:sz w:val="24"/>
              </w:rPr>
            </w:pPr>
            <w:r w:rsidRPr="003B2694">
              <w:rPr>
                <w:b/>
                <w:sz w:val="24"/>
              </w:rPr>
              <w:t>To be read as</w:t>
            </w:r>
          </w:p>
        </w:tc>
      </w:tr>
      <w:tr w:rsidR="003B2694" w:rsidTr="004E23A1">
        <w:tc>
          <w:tcPr>
            <w:tcW w:w="745" w:type="dxa"/>
          </w:tcPr>
          <w:p w:rsidR="003B2694" w:rsidRPr="003B2694" w:rsidRDefault="003B2694" w:rsidP="003B2694">
            <w:pPr>
              <w:pStyle w:val="NoSpacing"/>
              <w:rPr>
                <w:sz w:val="24"/>
              </w:rPr>
            </w:pPr>
            <w:r w:rsidRPr="003B2694">
              <w:rPr>
                <w:sz w:val="24"/>
              </w:rPr>
              <w:t>1</w:t>
            </w:r>
          </w:p>
        </w:tc>
        <w:tc>
          <w:tcPr>
            <w:tcW w:w="847" w:type="dxa"/>
          </w:tcPr>
          <w:p w:rsidR="003B2694" w:rsidRPr="003B2694" w:rsidRDefault="004E23A1" w:rsidP="003B2694">
            <w:pPr>
              <w:pStyle w:val="NoSpacing"/>
              <w:rPr>
                <w:sz w:val="24"/>
              </w:rPr>
            </w:pPr>
            <w:r>
              <w:rPr>
                <w:sz w:val="24"/>
              </w:rPr>
              <w:t>417</w:t>
            </w:r>
          </w:p>
        </w:tc>
        <w:tc>
          <w:tcPr>
            <w:tcW w:w="4765" w:type="dxa"/>
          </w:tcPr>
          <w:p w:rsidR="00531E1A" w:rsidRDefault="004E23A1" w:rsidP="003B2694">
            <w:pPr>
              <w:pStyle w:val="NoSpacing"/>
              <w:rPr>
                <w:sz w:val="24"/>
              </w:rPr>
            </w:pPr>
            <w:r w:rsidRPr="004E23A1">
              <w:rPr>
                <w:sz w:val="24"/>
                <w:highlight w:val="yellow"/>
              </w:rPr>
              <w:t>Table</w:t>
            </w:r>
          </w:p>
          <w:p w:rsidR="004E23A1" w:rsidRDefault="004E23A1" w:rsidP="003B2694">
            <w:pPr>
              <w:pStyle w:val="NoSpacing"/>
              <w:rPr>
                <w:sz w:val="24"/>
              </w:rPr>
            </w:pPr>
            <w:r>
              <w:rPr>
                <w:sz w:val="24"/>
              </w:rPr>
              <w:t>Sub-Standard</w:t>
            </w:r>
          </w:p>
          <w:p w:rsidR="004E23A1" w:rsidRPr="003B2694" w:rsidRDefault="004E23A1" w:rsidP="004E23A1">
            <w:pPr>
              <w:pStyle w:val="NoSpacing"/>
              <w:rPr>
                <w:sz w:val="24"/>
              </w:rPr>
            </w:pPr>
            <w:r>
              <w:rPr>
                <w:sz w:val="24"/>
              </w:rPr>
              <w:t xml:space="preserve">(Unsecured ab initio) </w:t>
            </w:r>
          </w:p>
        </w:tc>
        <w:tc>
          <w:tcPr>
            <w:tcW w:w="4172" w:type="dxa"/>
          </w:tcPr>
          <w:p w:rsidR="00531E1A" w:rsidRDefault="004E23A1" w:rsidP="00BC1ACB">
            <w:pPr>
              <w:pStyle w:val="NoSpacing"/>
              <w:rPr>
                <w:sz w:val="24"/>
              </w:rPr>
            </w:pPr>
            <w:r w:rsidRPr="004E23A1">
              <w:rPr>
                <w:sz w:val="24"/>
                <w:highlight w:val="yellow"/>
              </w:rPr>
              <w:t>Table</w:t>
            </w:r>
          </w:p>
          <w:p w:rsidR="004E23A1" w:rsidRDefault="004E23A1" w:rsidP="004E23A1">
            <w:pPr>
              <w:pStyle w:val="NoSpacing"/>
              <w:rPr>
                <w:sz w:val="24"/>
              </w:rPr>
            </w:pPr>
            <w:r>
              <w:rPr>
                <w:sz w:val="24"/>
              </w:rPr>
              <w:t>Sub-Standard</w:t>
            </w:r>
          </w:p>
          <w:p w:rsidR="004E23A1" w:rsidRDefault="004E23A1" w:rsidP="004E23A1">
            <w:pPr>
              <w:pStyle w:val="NoSpacing"/>
              <w:rPr>
                <w:i/>
                <w:color w:val="FF0000"/>
                <w:sz w:val="24"/>
              </w:rPr>
            </w:pPr>
            <w:r w:rsidRPr="004E23A1">
              <w:rPr>
                <w:i/>
                <w:color w:val="FF0000"/>
                <w:sz w:val="24"/>
              </w:rPr>
              <w:t>(Unsecured</w:t>
            </w:r>
            <w:r>
              <w:rPr>
                <w:i/>
                <w:color w:val="FF0000"/>
                <w:sz w:val="24"/>
              </w:rPr>
              <w:t>*</w:t>
            </w:r>
            <w:r w:rsidRPr="004E23A1">
              <w:rPr>
                <w:i/>
                <w:color w:val="FF0000"/>
                <w:sz w:val="24"/>
              </w:rPr>
              <w:t xml:space="preserve"> ab initio)</w:t>
            </w:r>
          </w:p>
          <w:p w:rsidR="003A31B2" w:rsidRPr="004E23A1" w:rsidRDefault="003A31B2" w:rsidP="004E23A1">
            <w:pPr>
              <w:pStyle w:val="NoSpacing"/>
              <w:rPr>
                <w:i/>
                <w:sz w:val="24"/>
              </w:rPr>
            </w:pPr>
            <w:r w:rsidRPr="003A31B2">
              <w:rPr>
                <w:i/>
                <w:color w:val="FF0000"/>
                <w:sz w:val="24"/>
              </w:rPr>
              <w:t>*</w:t>
            </w:r>
            <w:r w:rsidRPr="003A31B2">
              <w:rPr>
                <w:rFonts w:ascii="Segoe UI" w:hAnsi="Segoe UI" w:cs="Segoe UI"/>
                <w:i/>
                <w:color w:val="FF0000"/>
                <w:sz w:val="20"/>
                <w:szCs w:val="20"/>
              </w:rPr>
              <w:t xml:space="preserve"> </w:t>
            </w:r>
            <w:r w:rsidRPr="003A31B2">
              <w:rPr>
                <w:i/>
                <w:color w:val="FF0000"/>
                <w:sz w:val="24"/>
              </w:rPr>
              <w:t xml:space="preserve">Unsecured exposure is defined as an exposure where the realisable value of the security, as assessed by the bank/approved </w:t>
            </w:r>
            <w:proofErr w:type="spellStart"/>
            <w:r w:rsidRPr="003A31B2">
              <w:rPr>
                <w:i/>
                <w:color w:val="FF0000"/>
                <w:sz w:val="24"/>
              </w:rPr>
              <w:t>valuers</w:t>
            </w:r>
            <w:proofErr w:type="spellEnd"/>
            <w:r w:rsidRPr="003A31B2">
              <w:rPr>
                <w:i/>
                <w:color w:val="FF0000"/>
                <w:sz w:val="24"/>
              </w:rPr>
              <w:t>/Reserve Bank’s inspecting officers, is not more than 10 percent, ab-initio, of the outstanding exposure.</w:t>
            </w:r>
          </w:p>
        </w:tc>
      </w:tr>
      <w:tr w:rsidR="004E23A1" w:rsidTr="004E23A1">
        <w:tc>
          <w:tcPr>
            <w:tcW w:w="745" w:type="dxa"/>
          </w:tcPr>
          <w:p w:rsidR="004E23A1" w:rsidRPr="003B2694" w:rsidRDefault="004E23A1" w:rsidP="004E23A1">
            <w:pPr>
              <w:pStyle w:val="NoSpacing"/>
              <w:rPr>
                <w:sz w:val="24"/>
              </w:rPr>
            </w:pPr>
            <w:r>
              <w:rPr>
                <w:sz w:val="24"/>
              </w:rPr>
              <w:t>2</w:t>
            </w:r>
          </w:p>
        </w:tc>
        <w:tc>
          <w:tcPr>
            <w:tcW w:w="847" w:type="dxa"/>
          </w:tcPr>
          <w:p w:rsidR="004E23A1" w:rsidRPr="003B2694" w:rsidRDefault="004E23A1" w:rsidP="004E23A1">
            <w:pPr>
              <w:pStyle w:val="NoSpacing"/>
              <w:rPr>
                <w:sz w:val="24"/>
              </w:rPr>
            </w:pPr>
            <w:r>
              <w:rPr>
                <w:sz w:val="24"/>
              </w:rPr>
              <w:t>463</w:t>
            </w:r>
          </w:p>
        </w:tc>
        <w:tc>
          <w:tcPr>
            <w:tcW w:w="4765" w:type="dxa"/>
          </w:tcPr>
          <w:p w:rsidR="004E23A1" w:rsidRDefault="004E23A1" w:rsidP="004E23A1">
            <w:pPr>
              <w:pStyle w:val="NoSpacing"/>
              <w:rPr>
                <w:sz w:val="24"/>
              </w:rPr>
            </w:pPr>
            <w:r w:rsidRPr="00F6687D">
              <w:rPr>
                <w:sz w:val="24"/>
                <w:highlight w:val="yellow"/>
              </w:rPr>
              <w:t>Factoring</w:t>
            </w:r>
          </w:p>
          <w:p w:rsidR="004E23A1" w:rsidRPr="003B2694" w:rsidRDefault="004E23A1" w:rsidP="004E23A1">
            <w:pPr>
              <w:pStyle w:val="NoSpacing"/>
              <w:rPr>
                <w:sz w:val="24"/>
              </w:rPr>
            </w:pPr>
            <w:r>
              <w:rPr>
                <w:sz w:val="24"/>
              </w:rPr>
              <w:t>Details can be had from RBI circular dated 19.11.2015 and 30.07.2015</w:t>
            </w:r>
          </w:p>
        </w:tc>
        <w:tc>
          <w:tcPr>
            <w:tcW w:w="4172" w:type="dxa"/>
          </w:tcPr>
          <w:p w:rsidR="004E23A1" w:rsidRDefault="004E23A1" w:rsidP="004E23A1">
            <w:pPr>
              <w:pStyle w:val="NoSpacing"/>
              <w:rPr>
                <w:sz w:val="24"/>
              </w:rPr>
            </w:pPr>
            <w:r w:rsidRPr="00F6687D">
              <w:rPr>
                <w:sz w:val="24"/>
                <w:highlight w:val="yellow"/>
              </w:rPr>
              <w:t>Factoring</w:t>
            </w:r>
          </w:p>
          <w:p w:rsidR="004E23A1" w:rsidRPr="00BC1ACB" w:rsidRDefault="004E23A1" w:rsidP="004E23A1">
            <w:pPr>
              <w:pStyle w:val="NoSpacing"/>
              <w:rPr>
                <w:sz w:val="24"/>
              </w:rPr>
            </w:pPr>
            <w:r w:rsidRPr="00BC1ACB">
              <w:rPr>
                <w:sz w:val="24"/>
              </w:rPr>
              <w:t>In response the amendment of Factoring Regulation Act, 2011 by Government of India, RBI has issued the following guidelines:</w:t>
            </w:r>
          </w:p>
          <w:p w:rsidR="004E23A1" w:rsidRPr="00BC1ACB" w:rsidRDefault="004E23A1" w:rsidP="004E23A1">
            <w:pPr>
              <w:pStyle w:val="NoSpacing"/>
              <w:rPr>
                <w:sz w:val="24"/>
              </w:rPr>
            </w:pPr>
            <w:r w:rsidRPr="00BC1ACB">
              <w:rPr>
                <w:sz w:val="24"/>
              </w:rPr>
              <w:t>A. Registration of Factors (Reserve Bank) Regulations, 2022 issued vide Notification No. DOR.FIN.080/CGM(JPS) – 2022 dated January 14, 2022.</w:t>
            </w:r>
          </w:p>
          <w:p w:rsidR="004E23A1" w:rsidRPr="00BC1ACB" w:rsidRDefault="004E23A1" w:rsidP="004E23A1">
            <w:pPr>
              <w:pStyle w:val="NoSpacing"/>
              <w:rPr>
                <w:sz w:val="24"/>
              </w:rPr>
            </w:pPr>
          </w:p>
          <w:p w:rsidR="004E23A1" w:rsidRPr="003B2694" w:rsidRDefault="004E23A1" w:rsidP="004E23A1">
            <w:pPr>
              <w:pStyle w:val="NoSpacing"/>
              <w:rPr>
                <w:sz w:val="24"/>
              </w:rPr>
            </w:pPr>
            <w:r w:rsidRPr="00BC1ACB">
              <w:rPr>
                <w:sz w:val="24"/>
              </w:rPr>
              <w:t>B. Registration of Assignment of Receivables (Reserve Bank) Regulations, 2022 issued vide Notification No. DOR.FIN.081/CGM(JPS) – 2022 dated January 14, 2022.</w:t>
            </w:r>
          </w:p>
        </w:tc>
      </w:tr>
      <w:tr w:rsidR="004E23A1" w:rsidTr="004E23A1">
        <w:tc>
          <w:tcPr>
            <w:tcW w:w="745" w:type="dxa"/>
          </w:tcPr>
          <w:p w:rsidR="004E23A1" w:rsidRPr="003B2694" w:rsidRDefault="004E23A1" w:rsidP="004E23A1">
            <w:pPr>
              <w:pStyle w:val="NoSpacing"/>
              <w:rPr>
                <w:sz w:val="24"/>
              </w:rPr>
            </w:pPr>
            <w:r>
              <w:rPr>
                <w:sz w:val="24"/>
              </w:rPr>
              <w:t>3</w:t>
            </w:r>
          </w:p>
        </w:tc>
        <w:tc>
          <w:tcPr>
            <w:tcW w:w="847" w:type="dxa"/>
          </w:tcPr>
          <w:p w:rsidR="004E23A1" w:rsidRPr="003B2694" w:rsidRDefault="004E23A1" w:rsidP="004E23A1">
            <w:pPr>
              <w:pStyle w:val="NoSpacing"/>
              <w:rPr>
                <w:sz w:val="24"/>
              </w:rPr>
            </w:pPr>
            <w:r>
              <w:rPr>
                <w:sz w:val="24"/>
              </w:rPr>
              <w:t>464</w:t>
            </w:r>
          </w:p>
        </w:tc>
        <w:tc>
          <w:tcPr>
            <w:tcW w:w="4765" w:type="dxa"/>
          </w:tcPr>
          <w:p w:rsidR="004E23A1" w:rsidRPr="003B2694" w:rsidRDefault="004E23A1" w:rsidP="004E23A1">
            <w:pPr>
              <w:pStyle w:val="NoSpacing"/>
              <w:rPr>
                <w:sz w:val="24"/>
              </w:rPr>
            </w:pPr>
            <w:r w:rsidRPr="00BF4275">
              <w:rPr>
                <w:sz w:val="24"/>
              </w:rPr>
              <w:t>(Details in RBI circular dated September 10, 2015)</w:t>
            </w:r>
          </w:p>
        </w:tc>
        <w:tc>
          <w:tcPr>
            <w:tcW w:w="4172" w:type="dxa"/>
          </w:tcPr>
          <w:p w:rsidR="004E23A1" w:rsidRPr="003B2694" w:rsidRDefault="004E23A1" w:rsidP="004E23A1">
            <w:pPr>
              <w:pStyle w:val="NoSpacing"/>
              <w:rPr>
                <w:sz w:val="24"/>
              </w:rPr>
            </w:pPr>
            <w:r w:rsidRPr="00F6687D">
              <w:rPr>
                <w:color w:val="FF0000"/>
                <w:sz w:val="24"/>
              </w:rPr>
              <w:t>(Details in RBI circular dated March 26, 2019, subsequently updated in September 30, 2022)</w:t>
            </w:r>
          </w:p>
        </w:tc>
      </w:tr>
      <w:tr w:rsidR="003B2694" w:rsidTr="004E23A1">
        <w:tc>
          <w:tcPr>
            <w:tcW w:w="745" w:type="dxa"/>
          </w:tcPr>
          <w:p w:rsidR="003B2694" w:rsidRPr="00F26EA0" w:rsidRDefault="003B2694" w:rsidP="003B2694">
            <w:pPr>
              <w:pStyle w:val="NoSpacing"/>
              <w:rPr>
                <w:sz w:val="24"/>
              </w:rPr>
            </w:pPr>
          </w:p>
        </w:tc>
        <w:tc>
          <w:tcPr>
            <w:tcW w:w="847" w:type="dxa"/>
          </w:tcPr>
          <w:p w:rsidR="003B2694" w:rsidRPr="00F26EA0" w:rsidRDefault="003B2694" w:rsidP="003B2694">
            <w:pPr>
              <w:pStyle w:val="NoSpacing"/>
              <w:rPr>
                <w:sz w:val="24"/>
              </w:rPr>
            </w:pPr>
          </w:p>
        </w:tc>
        <w:tc>
          <w:tcPr>
            <w:tcW w:w="4765" w:type="dxa"/>
          </w:tcPr>
          <w:p w:rsidR="003B2694" w:rsidRPr="00F26EA0" w:rsidRDefault="003B2694" w:rsidP="003B2694">
            <w:pPr>
              <w:pStyle w:val="NoSpacing"/>
              <w:rPr>
                <w:sz w:val="24"/>
              </w:rPr>
            </w:pPr>
          </w:p>
        </w:tc>
        <w:tc>
          <w:tcPr>
            <w:tcW w:w="4172" w:type="dxa"/>
          </w:tcPr>
          <w:p w:rsidR="003B2694" w:rsidRPr="00F26EA0" w:rsidRDefault="003B2694" w:rsidP="003B2694">
            <w:pPr>
              <w:pStyle w:val="NoSpacing"/>
              <w:rPr>
                <w:sz w:val="24"/>
              </w:rPr>
            </w:pPr>
          </w:p>
        </w:tc>
      </w:tr>
      <w:tr w:rsidR="003B2694" w:rsidTr="004E23A1">
        <w:tc>
          <w:tcPr>
            <w:tcW w:w="745" w:type="dxa"/>
          </w:tcPr>
          <w:p w:rsidR="003B2694" w:rsidRPr="00F26EA0" w:rsidRDefault="003B2694" w:rsidP="003B2694">
            <w:pPr>
              <w:pStyle w:val="NoSpacing"/>
              <w:rPr>
                <w:sz w:val="24"/>
              </w:rPr>
            </w:pPr>
          </w:p>
        </w:tc>
        <w:tc>
          <w:tcPr>
            <w:tcW w:w="847" w:type="dxa"/>
          </w:tcPr>
          <w:p w:rsidR="003B2694" w:rsidRPr="00F26EA0" w:rsidRDefault="003B2694" w:rsidP="003B2694">
            <w:pPr>
              <w:pStyle w:val="NoSpacing"/>
              <w:rPr>
                <w:sz w:val="24"/>
              </w:rPr>
            </w:pPr>
          </w:p>
        </w:tc>
        <w:tc>
          <w:tcPr>
            <w:tcW w:w="4765" w:type="dxa"/>
          </w:tcPr>
          <w:p w:rsidR="003B2694" w:rsidRPr="00F26EA0" w:rsidRDefault="003B2694" w:rsidP="003B2694">
            <w:pPr>
              <w:pStyle w:val="NoSpacing"/>
              <w:rPr>
                <w:sz w:val="24"/>
              </w:rPr>
            </w:pPr>
          </w:p>
        </w:tc>
        <w:tc>
          <w:tcPr>
            <w:tcW w:w="4172" w:type="dxa"/>
          </w:tcPr>
          <w:p w:rsidR="003B2694" w:rsidRPr="00F26EA0" w:rsidRDefault="003B2694" w:rsidP="003B2694">
            <w:pPr>
              <w:pStyle w:val="NoSpacing"/>
              <w:rPr>
                <w:sz w:val="24"/>
              </w:rPr>
            </w:pPr>
          </w:p>
        </w:tc>
      </w:tr>
      <w:tr w:rsidR="00B17439" w:rsidTr="00B17439">
        <w:tc>
          <w:tcPr>
            <w:tcW w:w="10529" w:type="dxa"/>
            <w:gridSpan w:val="4"/>
            <w:vAlign w:val="center"/>
          </w:tcPr>
          <w:p w:rsidR="00B17439" w:rsidRPr="00B17439" w:rsidRDefault="00B17439" w:rsidP="00B17439">
            <w:pPr>
              <w:pStyle w:val="NoSpacing"/>
              <w:rPr>
                <w:sz w:val="28"/>
              </w:rPr>
            </w:pPr>
            <w:proofErr w:type="spellStart"/>
            <w:r>
              <w:rPr>
                <w:sz w:val="24"/>
              </w:rPr>
              <w:t>Pg</w:t>
            </w:r>
            <w:proofErr w:type="spellEnd"/>
            <w:r>
              <w:rPr>
                <w:sz w:val="24"/>
              </w:rPr>
              <w:t xml:space="preserve"> 437 – Table to be read as below</w:t>
            </w:r>
          </w:p>
        </w:tc>
      </w:tr>
      <w:tr w:rsidR="00B17439" w:rsidTr="004E23A1">
        <w:tc>
          <w:tcPr>
            <w:tcW w:w="10529" w:type="dxa"/>
            <w:gridSpan w:val="4"/>
          </w:tcPr>
          <w:tbl>
            <w:tblPr>
              <w:tblW w:w="8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31"/>
              <w:gridCol w:w="3547"/>
              <w:gridCol w:w="3535"/>
              <w:gridCol w:w="535"/>
            </w:tblGrid>
            <w:tr w:rsidR="00B17439" w:rsidRPr="000F39FD" w:rsidTr="0008190F">
              <w:trPr>
                <w:cantSplit/>
                <w:trHeight w:val="284"/>
                <w:jc w:val="center"/>
              </w:trPr>
              <w:tc>
                <w:tcPr>
                  <w:tcW w:w="364" w:type="dxa"/>
                  <w:tcBorders>
                    <w:top w:val="nil"/>
                    <w:left w:val="nil"/>
                    <w:right w:val="nil"/>
                  </w:tcBorders>
                  <w:shd w:val="clear" w:color="auto" w:fill="FFFFFF" w:themeFill="background1"/>
                </w:tcPr>
                <w:p w:rsidR="00B17439" w:rsidRPr="000F39FD" w:rsidRDefault="00B17439" w:rsidP="00B17439">
                  <w:pPr>
                    <w:widowControl w:val="0"/>
                    <w:autoSpaceDE w:val="0"/>
                    <w:autoSpaceDN w:val="0"/>
                    <w:adjustRightInd w:val="0"/>
                    <w:jc w:val="center"/>
                    <w:rPr>
                      <w:rFonts w:ascii="Arial" w:eastAsia="Times New Roman" w:hAnsi="Arial" w:cs="Arial"/>
                      <w:b/>
                      <w:bCs/>
                      <w:color w:val="FFFFFF"/>
                      <w:sz w:val="12"/>
                      <w:szCs w:val="12"/>
                      <w:lang w:eastAsia="en-IN"/>
                    </w:rPr>
                  </w:pPr>
                </w:p>
              </w:tc>
              <w:tc>
                <w:tcPr>
                  <w:tcW w:w="364" w:type="dxa"/>
                  <w:tcBorders>
                    <w:top w:val="nil"/>
                    <w:left w:val="nil"/>
                  </w:tcBorders>
                  <w:shd w:val="clear" w:color="auto" w:fill="FFFFFF" w:themeFill="background1"/>
                </w:tcPr>
                <w:p w:rsidR="00B17439" w:rsidRPr="000F39FD" w:rsidRDefault="00B17439" w:rsidP="00B17439">
                  <w:pPr>
                    <w:jc w:val="center"/>
                    <w:rPr>
                      <w:rFonts w:ascii="Arial" w:eastAsia="Times New Roman" w:hAnsi="Arial" w:cs="Arial"/>
                      <w:b/>
                      <w:bCs/>
                      <w:color w:val="FFFFFF"/>
                      <w:sz w:val="21"/>
                      <w:szCs w:val="21"/>
                      <w:lang w:eastAsia="en-IN"/>
                    </w:rPr>
                  </w:pPr>
                </w:p>
              </w:tc>
              <w:tc>
                <w:tcPr>
                  <w:tcW w:w="3547" w:type="dxa"/>
                  <w:shd w:val="clear" w:color="auto" w:fill="000000" w:themeFill="text1"/>
                </w:tcPr>
                <w:p w:rsidR="00B17439" w:rsidRPr="000F39FD" w:rsidRDefault="00B17439" w:rsidP="00B17439">
                  <w:pPr>
                    <w:jc w:val="center"/>
                    <w:rPr>
                      <w:rFonts w:ascii="Arial" w:eastAsia="Times New Roman" w:hAnsi="Arial" w:cs="Arial"/>
                      <w:b/>
                      <w:bCs/>
                      <w:color w:val="FFFFFF"/>
                      <w:sz w:val="21"/>
                      <w:szCs w:val="21"/>
                      <w:lang w:eastAsia="en-IN"/>
                    </w:rPr>
                  </w:pPr>
                  <w:r w:rsidRPr="000F39FD">
                    <w:rPr>
                      <w:rFonts w:ascii="Arial" w:eastAsia="Times New Roman" w:hAnsi="Arial" w:cs="Arial"/>
                      <w:b/>
                      <w:bCs/>
                      <w:color w:val="FFFFFF"/>
                      <w:sz w:val="21"/>
                      <w:szCs w:val="21"/>
                      <w:lang w:eastAsia="en-IN"/>
                    </w:rPr>
                    <w:t>Liabilities</w:t>
                  </w:r>
                </w:p>
              </w:tc>
              <w:tc>
                <w:tcPr>
                  <w:tcW w:w="3535" w:type="dxa"/>
                  <w:tcBorders>
                    <w:bottom w:val="single" w:sz="4" w:space="0" w:color="auto"/>
                  </w:tcBorders>
                  <w:shd w:val="clear" w:color="000000" w:fill="000000"/>
                  <w:noWrap/>
                  <w:vAlign w:val="bottom"/>
                  <w:hideMark/>
                </w:tcPr>
                <w:p w:rsidR="00B17439" w:rsidRPr="000F39FD" w:rsidRDefault="00B17439" w:rsidP="00B17439">
                  <w:pPr>
                    <w:jc w:val="center"/>
                    <w:rPr>
                      <w:rFonts w:ascii="Arial" w:eastAsia="Times New Roman" w:hAnsi="Arial" w:cs="Arial"/>
                      <w:b/>
                      <w:bCs/>
                      <w:color w:val="FFFFFF"/>
                      <w:sz w:val="21"/>
                      <w:szCs w:val="21"/>
                      <w:lang w:eastAsia="en-IN"/>
                    </w:rPr>
                  </w:pPr>
                  <w:r w:rsidRPr="000F39FD">
                    <w:rPr>
                      <w:rFonts w:ascii="Arial" w:eastAsia="Times New Roman" w:hAnsi="Arial" w:cs="Arial"/>
                      <w:b/>
                      <w:bCs/>
                      <w:color w:val="FFFFFF"/>
                      <w:sz w:val="21"/>
                      <w:szCs w:val="21"/>
                      <w:lang w:eastAsia="en-IN"/>
                    </w:rPr>
                    <w:t>Assets</w:t>
                  </w:r>
                </w:p>
              </w:tc>
              <w:tc>
                <w:tcPr>
                  <w:tcW w:w="364" w:type="dxa"/>
                  <w:tcBorders>
                    <w:top w:val="nil"/>
                    <w:right w:val="nil"/>
                  </w:tcBorders>
                  <w:shd w:val="clear" w:color="auto" w:fill="FFFFFF" w:themeFill="background1"/>
                  <w:textDirection w:val="btLr"/>
                </w:tcPr>
                <w:p w:rsidR="00B17439" w:rsidRPr="000F39FD" w:rsidRDefault="00B17439" w:rsidP="00B17439">
                  <w:pPr>
                    <w:ind w:left="113" w:right="113"/>
                    <w:jc w:val="center"/>
                    <w:rPr>
                      <w:rFonts w:ascii="Arial" w:eastAsia="Times New Roman" w:hAnsi="Arial" w:cs="Arial"/>
                      <w:b/>
                      <w:bCs/>
                      <w:color w:val="FFFFFF"/>
                      <w:sz w:val="21"/>
                      <w:szCs w:val="21"/>
                      <w:lang w:eastAsia="en-IN"/>
                    </w:rPr>
                  </w:pPr>
                </w:p>
              </w:tc>
            </w:tr>
            <w:tr w:rsidR="00B17439" w:rsidRPr="000F39FD" w:rsidTr="0008190F">
              <w:trPr>
                <w:trHeight w:val="716"/>
                <w:jc w:val="center"/>
              </w:trPr>
              <w:tc>
                <w:tcPr>
                  <w:tcW w:w="728" w:type="dxa"/>
                  <w:gridSpan w:val="2"/>
                  <w:vMerge w:val="restart"/>
                  <w:shd w:val="clear" w:color="auto" w:fill="FFFFCC"/>
                  <w:textDirection w:val="btLr"/>
                </w:tcPr>
                <w:p w:rsidR="00B17439" w:rsidRPr="000F39FD" w:rsidRDefault="00B17439" w:rsidP="00B17439">
                  <w:pPr>
                    <w:ind w:left="113" w:right="113"/>
                    <w:jc w:val="center"/>
                    <w:rPr>
                      <w:rFonts w:ascii="Arial" w:eastAsia="Times New Roman" w:hAnsi="Arial" w:cs="Arial"/>
                      <w:color w:val="000000"/>
                      <w:sz w:val="12"/>
                      <w:szCs w:val="12"/>
                      <w:lang w:eastAsia="en-IN"/>
                    </w:rPr>
                  </w:pPr>
                  <w:r w:rsidRPr="000F39FD">
                    <w:rPr>
                      <w:rFonts w:ascii="Arial" w:eastAsia="Times New Roman" w:hAnsi="Arial" w:cs="Arial"/>
                      <w:color w:val="000000"/>
                      <w:sz w:val="12"/>
                      <w:szCs w:val="12"/>
                      <w:lang w:eastAsia="en-IN"/>
                    </w:rPr>
                    <w:t>Short Term Sources</w:t>
                  </w:r>
                  <w:r>
                    <w:rPr>
                      <w:rFonts w:ascii="Arial" w:eastAsia="Times New Roman" w:hAnsi="Arial" w:cs="Arial"/>
                      <w:color w:val="000000"/>
                      <w:sz w:val="12"/>
                      <w:szCs w:val="12"/>
                      <w:lang w:eastAsia="en-IN"/>
                    </w:rPr>
                    <w:t xml:space="preserve"> </w:t>
                  </w:r>
                  <w:r w:rsidRPr="004C6E24">
                    <w:rPr>
                      <w:rFonts w:ascii="Arial" w:eastAsia="Times New Roman" w:hAnsi="Arial" w:cs="Arial"/>
                      <w:color w:val="7030A0"/>
                      <w:sz w:val="12"/>
                      <w:szCs w:val="12"/>
                      <w:lang w:eastAsia="en-IN"/>
                    </w:rPr>
                    <w:t>[Current Liabilities]</w:t>
                  </w:r>
                </w:p>
              </w:tc>
              <w:tc>
                <w:tcPr>
                  <w:tcW w:w="3547" w:type="dxa"/>
                  <w:tcBorders>
                    <w:bottom w:val="single" w:sz="4" w:space="0" w:color="auto"/>
                  </w:tcBorders>
                  <w:shd w:val="clear" w:color="auto" w:fill="FFFF66"/>
                  <w:noWrap/>
                  <w:vAlign w:val="center"/>
                  <w:hideMark/>
                </w:tcPr>
                <w:p w:rsidR="00B17439" w:rsidRPr="000F39FD" w:rsidRDefault="00B17439" w:rsidP="00B17439">
                  <w:pPr>
                    <w:jc w:val="center"/>
                    <w:rPr>
                      <w:rFonts w:ascii="Arial" w:eastAsia="Times New Roman" w:hAnsi="Arial" w:cs="Arial"/>
                      <w:color w:val="000000"/>
                      <w:sz w:val="21"/>
                      <w:szCs w:val="21"/>
                      <w:lang w:eastAsia="en-IN"/>
                    </w:rPr>
                  </w:pPr>
                  <w:r w:rsidRPr="000F39FD">
                    <w:rPr>
                      <w:rFonts w:ascii="Arial" w:eastAsia="Times New Roman" w:hAnsi="Arial" w:cs="Arial"/>
                      <w:color w:val="000000"/>
                      <w:sz w:val="21"/>
                      <w:szCs w:val="21"/>
                      <w:lang w:eastAsia="en-IN"/>
                    </w:rPr>
                    <w:t>WC finance availed</w:t>
                  </w:r>
                  <w:r>
                    <w:rPr>
                      <w:rFonts w:ascii="Arial" w:eastAsia="Times New Roman" w:hAnsi="Arial" w:cs="Arial"/>
                      <w:color w:val="000000"/>
                      <w:sz w:val="21"/>
                      <w:szCs w:val="21"/>
                      <w:lang w:eastAsia="en-IN"/>
                    </w:rPr>
                    <w:t xml:space="preserve"> [BF]</w:t>
                  </w:r>
                </w:p>
              </w:tc>
              <w:tc>
                <w:tcPr>
                  <w:tcW w:w="3535" w:type="dxa"/>
                  <w:vMerge w:val="restart"/>
                  <w:tcBorders>
                    <w:bottom w:val="nil"/>
                  </w:tcBorders>
                  <w:shd w:val="clear" w:color="000000" w:fill="92D050"/>
                  <w:noWrap/>
                  <w:vAlign w:val="center"/>
                  <w:hideMark/>
                </w:tcPr>
                <w:p w:rsidR="00B17439" w:rsidRPr="000F39FD" w:rsidRDefault="00B17439" w:rsidP="00B17439">
                  <w:pPr>
                    <w:jc w:val="center"/>
                    <w:rPr>
                      <w:rFonts w:ascii="Arial" w:eastAsia="Times New Roman" w:hAnsi="Arial" w:cs="Arial"/>
                      <w:color w:val="000000"/>
                      <w:sz w:val="21"/>
                      <w:szCs w:val="21"/>
                      <w:lang w:eastAsia="en-IN"/>
                    </w:rPr>
                  </w:pPr>
                  <w:r>
                    <w:rPr>
                      <w:rFonts w:ascii="Arial" w:eastAsia="Times New Roman" w:hAnsi="Arial" w:cs="Arial"/>
                      <w:color w:val="000000"/>
                      <w:sz w:val="21"/>
                      <w:szCs w:val="21"/>
                      <w:lang w:eastAsia="en-IN"/>
                    </w:rPr>
                    <w:t xml:space="preserve">Total </w:t>
                  </w:r>
                  <w:r w:rsidRPr="000F39FD">
                    <w:rPr>
                      <w:rFonts w:ascii="Arial" w:eastAsia="Times New Roman" w:hAnsi="Arial" w:cs="Arial"/>
                      <w:color w:val="000000"/>
                      <w:sz w:val="21"/>
                      <w:szCs w:val="21"/>
                      <w:lang w:eastAsia="en-IN"/>
                    </w:rPr>
                    <w:t>Current Assets</w:t>
                  </w:r>
                  <w:r>
                    <w:rPr>
                      <w:rFonts w:ascii="Arial" w:eastAsia="Times New Roman" w:hAnsi="Arial" w:cs="Arial"/>
                      <w:color w:val="000000"/>
                      <w:sz w:val="21"/>
                      <w:szCs w:val="21"/>
                      <w:lang w:eastAsia="en-IN"/>
                    </w:rPr>
                    <w:t xml:space="preserve"> [TCA]</w:t>
                  </w:r>
                </w:p>
              </w:tc>
              <w:tc>
                <w:tcPr>
                  <w:tcW w:w="364" w:type="dxa"/>
                  <w:vMerge w:val="restart"/>
                  <w:tcBorders>
                    <w:bottom w:val="single" w:sz="4" w:space="0" w:color="auto"/>
                  </w:tcBorders>
                  <w:shd w:val="clear" w:color="000000" w:fill="92D050"/>
                  <w:textDirection w:val="tbRl"/>
                </w:tcPr>
                <w:p w:rsidR="00B17439" w:rsidRPr="000F39FD" w:rsidRDefault="00B17439" w:rsidP="00B17439">
                  <w:pPr>
                    <w:ind w:left="113" w:right="113"/>
                    <w:jc w:val="center"/>
                    <w:rPr>
                      <w:rFonts w:ascii="Arial" w:eastAsia="Times New Roman" w:hAnsi="Arial" w:cs="Arial"/>
                      <w:color w:val="000000"/>
                      <w:sz w:val="12"/>
                      <w:szCs w:val="12"/>
                      <w:lang w:eastAsia="en-IN"/>
                    </w:rPr>
                  </w:pPr>
                  <w:r w:rsidRPr="000F39FD">
                    <w:rPr>
                      <w:rFonts w:ascii="Arial" w:eastAsia="Times New Roman" w:hAnsi="Arial" w:cs="Arial"/>
                      <w:color w:val="000000"/>
                      <w:sz w:val="12"/>
                      <w:szCs w:val="12"/>
                      <w:lang w:eastAsia="en-IN"/>
                    </w:rPr>
                    <w:t>Short Term Uses</w:t>
                  </w:r>
                </w:p>
              </w:tc>
            </w:tr>
            <w:tr w:rsidR="00B17439" w:rsidRPr="000F39FD" w:rsidTr="0008190F">
              <w:trPr>
                <w:trHeight w:val="285"/>
                <w:jc w:val="center"/>
              </w:trPr>
              <w:tc>
                <w:tcPr>
                  <w:tcW w:w="728" w:type="dxa"/>
                  <w:gridSpan w:val="2"/>
                  <w:vMerge/>
                  <w:shd w:val="clear" w:color="auto" w:fill="FFFFCC"/>
                  <w:textDirection w:val="btLr"/>
                </w:tcPr>
                <w:p w:rsidR="00B17439" w:rsidRPr="000F39FD" w:rsidRDefault="00B17439" w:rsidP="00B17439">
                  <w:pPr>
                    <w:ind w:left="113" w:right="113"/>
                    <w:jc w:val="center"/>
                    <w:rPr>
                      <w:rFonts w:ascii="Arial" w:eastAsia="Times New Roman" w:hAnsi="Arial" w:cs="Arial"/>
                      <w:color w:val="000000"/>
                      <w:sz w:val="21"/>
                      <w:szCs w:val="21"/>
                      <w:lang w:eastAsia="en-IN"/>
                    </w:rPr>
                  </w:pPr>
                </w:p>
              </w:tc>
              <w:tc>
                <w:tcPr>
                  <w:tcW w:w="3547" w:type="dxa"/>
                  <w:shd w:val="clear" w:color="auto" w:fill="FFFF00"/>
                  <w:noWrap/>
                  <w:vAlign w:val="center"/>
                  <w:hideMark/>
                </w:tcPr>
                <w:p w:rsidR="00B17439" w:rsidRPr="000F39FD" w:rsidRDefault="00B17439" w:rsidP="00B17439">
                  <w:pPr>
                    <w:jc w:val="center"/>
                    <w:rPr>
                      <w:rFonts w:ascii="Arial" w:eastAsia="Times New Roman" w:hAnsi="Arial" w:cs="Arial"/>
                      <w:color w:val="000000"/>
                      <w:sz w:val="21"/>
                      <w:szCs w:val="21"/>
                      <w:lang w:eastAsia="en-IN"/>
                    </w:rPr>
                  </w:pPr>
                  <w:r w:rsidRPr="000F39FD">
                    <w:rPr>
                      <w:rFonts w:ascii="Arial" w:eastAsia="Times New Roman" w:hAnsi="Arial" w:cs="Arial"/>
                      <w:color w:val="000000"/>
                      <w:sz w:val="21"/>
                      <w:szCs w:val="21"/>
                      <w:lang w:eastAsia="en-IN"/>
                    </w:rPr>
                    <w:t>Other C</w:t>
                  </w:r>
                  <w:r>
                    <w:rPr>
                      <w:rFonts w:ascii="Arial" w:eastAsia="Times New Roman" w:hAnsi="Arial" w:cs="Arial"/>
                      <w:color w:val="000000"/>
                      <w:sz w:val="21"/>
                      <w:szCs w:val="21"/>
                      <w:lang w:eastAsia="en-IN"/>
                    </w:rPr>
                    <w:t xml:space="preserve">urrent </w:t>
                  </w:r>
                  <w:r w:rsidRPr="000F39FD">
                    <w:rPr>
                      <w:rFonts w:ascii="Arial" w:eastAsia="Times New Roman" w:hAnsi="Arial" w:cs="Arial"/>
                      <w:color w:val="000000"/>
                      <w:sz w:val="21"/>
                      <w:szCs w:val="21"/>
                      <w:lang w:eastAsia="en-IN"/>
                    </w:rPr>
                    <w:t>L</w:t>
                  </w:r>
                  <w:r>
                    <w:rPr>
                      <w:rFonts w:ascii="Arial" w:eastAsia="Times New Roman" w:hAnsi="Arial" w:cs="Arial"/>
                      <w:color w:val="000000"/>
                      <w:sz w:val="21"/>
                      <w:szCs w:val="21"/>
                      <w:lang w:eastAsia="en-IN"/>
                    </w:rPr>
                    <w:t xml:space="preserve">iabilities [OCL]  </w:t>
                  </w:r>
                </w:p>
              </w:tc>
              <w:tc>
                <w:tcPr>
                  <w:tcW w:w="3535" w:type="dxa"/>
                  <w:vMerge/>
                  <w:tcBorders>
                    <w:top w:val="nil"/>
                    <w:bottom w:val="nil"/>
                  </w:tcBorders>
                  <w:shd w:val="clear" w:color="000000" w:fill="92D050"/>
                  <w:vAlign w:val="center"/>
                  <w:hideMark/>
                </w:tcPr>
                <w:p w:rsidR="00B17439" w:rsidRPr="000F39FD" w:rsidRDefault="00B17439" w:rsidP="00B17439">
                  <w:pPr>
                    <w:rPr>
                      <w:rFonts w:ascii="Arial" w:eastAsia="Times New Roman" w:hAnsi="Arial" w:cs="Arial"/>
                      <w:color w:val="000000"/>
                      <w:sz w:val="21"/>
                      <w:szCs w:val="21"/>
                      <w:lang w:eastAsia="en-IN"/>
                    </w:rPr>
                  </w:pPr>
                </w:p>
              </w:tc>
              <w:tc>
                <w:tcPr>
                  <w:tcW w:w="364" w:type="dxa"/>
                  <w:vMerge/>
                  <w:textDirection w:val="tbRl"/>
                </w:tcPr>
                <w:p w:rsidR="00B17439" w:rsidRPr="000F39FD" w:rsidRDefault="00B17439" w:rsidP="00B17439">
                  <w:pPr>
                    <w:ind w:left="113" w:right="113"/>
                    <w:rPr>
                      <w:rFonts w:ascii="Arial" w:eastAsia="Times New Roman" w:hAnsi="Arial" w:cs="Arial"/>
                      <w:sz w:val="21"/>
                      <w:szCs w:val="21"/>
                      <w:lang w:eastAsia="en-IN"/>
                    </w:rPr>
                  </w:pPr>
                </w:p>
              </w:tc>
            </w:tr>
            <w:tr w:rsidR="00B17439" w:rsidRPr="000F39FD" w:rsidTr="0008190F">
              <w:trPr>
                <w:trHeight w:val="285"/>
                <w:jc w:val="center"/>
              </w:trPr>
              <w:tc>
                <w:tcPr>
                  <w:tcW w:w="364" w:type="dxa"/>
                  <w:vMerge w:val="restart"/>
                  <w:shd w:val="clear" w:color="auto" w:fill="7030A0"/>
                  <w:textDirection w:val="btLr"/>
                </w:tcPr>
                <w:p w:rsidR="00B17439" w:rsidRPr="000F39FD" w:rsidRDefault="00B17439" w:rsidP="00B17439">
                  <w:pPr>
                    <w:ind w:left="113" w:right="113"/>
                    <w:jc w:val="center"/>
                    <w:rPr>
                      <w:rFonts w:ascii="Arial" w:eastAsia="Times New Roman" w:hAnsi="Arial" w:cs="Arial"/>
                      <w:color w:val="000000"/>
                      <w:sz w:val="12"/>
                      <w:szCs w:val="12"/>
                      <w:lang w:eastAsia="en-IN"/>
                    </w:rPr>
                  </w:pPr>
                  <w:r w:rsidRPr="000F39FD">
                    <w:rPr>
                      <w:rFonts w:ascii="Arial" w:eastAsia="Times New Roman" w:hAnsi="Arial" w:cs="Arial"/>
                      <w:color w:val="FFFFFF" w:themeColor="background1"/>
                      <w:sz w:val="12"/>
                      <w:szCs w:val="12"/>
                      <w:lang w:eastAsia="en-IN"/>
                    </w:rPr>
                    <w:t>Long Term Sources</w:t>
                  </w:r>
                </w:p>
              </w:tc>
              <w:tc>
                <w:tcPr>
                  <w:tcW w:w="364" w:type="dxa"/>
                  <w:vMerge w:val="restart"/>
                  <w:shd w:val="clear" w:color="auto" w:fill="FF99FF"/>
                  <w:textDirection w:val="btLr"/>
                </w:tcPr>
                <w:p w:rsidR="00B17439" w:rsidRPr="000F39FD" w:rsidRDefault="00B17439" w:rsidP="00B17439">
                  <w:pPr>
                    <w:ind w:left="113" w:right="113"/>
                    <w:jc w:val="center"/>
                    <w:rPr>
                      <w:rFonts w:ascii="Arial" w:eastAsia="Times New Roman" w:hAnsi="Arial" w:cs="Arial"/>
                      <w:color w:val="000000"/>
                      <w:sz w:val="12"/>
                      <w:szCs w:val="12"/>
                      <w:lang w:eastAsia="en-IN"/>
                    </w:rPr>
                  </w:pPr>
                  <w:r w:rsidRPr="000F39FD">
                    <w:rPr>
                      <w:rFonts w:ascii="Arial" w:eastAsia="Times New Roman" w:hAnsi="Arial" w:cs="Arial"/>
                      <w:color w:val="000000"/>
                      <w:sz w:val="12"/>
                      <w:szCs w:val="12"/>
                      <w:lang w:eastAsia="en-IN"/>
                    </w:rPr>
                    <w:t>TL</w:t>
                  </w:r>
                </w:p>
              </w:tc>
              <w:tc>
                <w:tcPr>
                  <w:tcW w:w="3547" w:type="dxa"/>
                  <w:vMerge w:val="restart"/>
                  <w:shd w:val="clear" w:color="000000" w:fill="AEB050"/>
                  <w:noWrap/>
                  <w:vAlign w:val="center"/>
                  <w:hideMark/>
                </w:tcPr>
                <w:p w:rsidR="00B17439" w:rsidRPr="000F39FD" w:rsidRDefault="00B17439" w:rsidP="00B17439">
                  <w:pPr>
                    <w:jc w:val="center"/>
                    <w:rPr>
                      <w:rFonts w:ascii="Arial" w:eastAsia="Times New Roman" w:hAnsi="Arial" w:cs="Arial"/>
                      <w:color w:val="000000"/>
                      <w:sz w:val="21"/>
                      <w:szCs w:val="21"/>
                      <w:lang w:eastAsia="en-IN"/>
                    </w:rPr>
                  </w:pPr>
                  <w:r w:rsidRPr="000F39FD">
                    <w:rPr>
                      <w:rFonts w:ascii="Arial" w:eastAsia="Times New Roman" w:hAnsi="Arial" w:cs="Arial"/>
                      <w:color w:val="000000"/>
                      <w:sz w:val="21"/>
                      <w:szCs w:val="21"/>
                      <w:lang w:eastAsia="en-IN"/>
                    </w:rPr>
                    <w:t>Term Liabilities</w:t>
                  </w:r>
                </w:p>
              </w:tc>
              <w:tc>
                <w:tcPr>
                  <w:tcW w:w="3535" w:type="dxa"/>
                  <w:tcBorders>
                    <w:top w:val="nil"/>
                  </w:tcBorders>
                  <w:shd w:val="clear" w:color="000000" w:fill="92D050"/>
                  <w:vAlign w:val="center"/>
                  <w:hideMark/>
                </w:tcPr>
                <w:p w:rsidR="00B17439" w:rsidRPr="000F39FD" w:rsidRDefault="00B17439" w:rsidP="00B17439">
                  <w:pPr>
                    <w:ind w:left="-85"/>
                    <w:rPr>
                      <w:rFonts w:ascii="Arial" w:eastAsia="Times New Roman" w:hAnsi="Arial" w:cs="Arial"/>
                      <w:b/>
                      <w:bCs/>
                      <w:color w:val="000000"/>
                      <w:sz w:val="10"/>
                      <w:szCs w:val="10"/>
                      <w:lang w:eastAsia="en-IN"/>
                    </w:rPr>
                  </w:pPr>
                  <w:r>
                    <w:rPr>
                      <w:rFonts w:ascii="Arial" w:eastAsia="Times New Roman" w:hAnsi="Arial" w:cs="Arial"/>
                      <w:b/>
                      <w:bCs/>
                      <w:color w:val="7030A0"/>
                      <w:sz w:val="10"/>
                      <w:szCs w:val="10"/>
                      <w:lang w:eastAsia="en-IN"/>
                    </w:rPr>
                    <w:t>←</w:t>
                  </w:r>
                  <w:r w:rsidRPr="000F39FD">
                    <w:rPr>
                      <w:rFonts w:ascii="Arial" w:eastAsia="Times New Roman" w:hAnsi="Arial" w:cs="Arial"/>
                      <w:b/>
                      <w:bCs/>
                      <w:color w:val="7030A0"/>
                      <w:sz w:val="10"/>
                      <w:szCs w:val="10"/>
                      <w:lang w:eastAsia="en-IN"/>
                    </w:rPr>
                    <w:t>NWC</w:t>
                  </w:r>
                </w:p>
              </w:tc>
              <w:tc>
                <w:tcPr>
                  <w:tcW w:w="364" w:type="dxa"/>
                  <w:vMerge/>
                  <w:textDirection w:val="tbRl"/>
                </w:tcPr>
                <w:p w:rsidR="00B17439" w:rsidRPr="000F39FD" w:rsidRDefault="00B17439" w:rsidP="00B17439">
                  <w:pPr>
                    <w:ind w:left="113" w:right="113"/>
                    <w:rPr>
                      <w:rFonts w:ascii="Arial" w:eastAsia="Times New Roman" w:hAnsi="Arial" w:cs="Arial"/>
                      <w:sz w:val="21"/>
                      <w:szCs w:val="21"/>
                      <w:lang w:eastAsia="en-IN"/>
                    </w:rPr>
                  </w:pPr>
                </w:p>
              </w:tc>
            </w:tr>
            <w:tr w:rsidR="00B17439" w:rsidRPr="000F39FD" w:rsidTr="0008190F">
              <w:trPr>
                <w:trHeight w:val="875"/>
                <w:jc w:val="center"/>
              </w:trPr>
              <w:tc>
                <w:tcPr>
                  <w:tcW w:w="364" w:type="dxa"/>
                  <w:vMerge/>
                  <w:tcBorders>
                    <w:bottom w:val="single" w:sz="4" w:space="0" w:color="auto"/>
                  </w:tcBorders>
                  <w:shd w:val="clear" w:color="auto" w:fill="7030A0"/>
                </w:tcPr>
                <w:p w:rsidR="00B17439" w:rsidRPr="000F39FD" w:rsidRDefault="00B17439" w:rsidP="00B17439">
                  <w:pPr>
                    <w:rPr>
                      <w:rFonts w:ascii="Arial" w:eastAsia="Times New Roman" w:hAnsi="Arial" w:cs="Arial"/>
                      <w:color w:val="000000"/>
                      <w:sz w:val="21"/>
                      <w:szCs w:val="21"/>
                      <w:lang w:eastAsia="en-IN"/>
                    </w:rPr>
                  </w:pPr>
                </w:p>
              </w:tc>
              <w:tc>
                <w:tcPr>
                  <w:tcW w:w="364" w:type="dxa"/>
                  <w:vMerge/>
                  <w:tcBorders>
                    <w:bottom w:val="single" w:sz="4" w:space="0" w:color="auto"/>
                  </w:tcBorders>
                  <w:shd w:val="clear" w:color="auto" w:fill="FF99FF"/>
                  <w:textDirection w:val="btLr"/>
                </w:tcPr>
                <w:p w:rsidR="00B17439" w:rsidRPr="000F39FD" w:rsidRDefault="00B17439" w:rsidP="00B17439">
                  <w:pPr>
                    <w:ind w:left="113" w:right="113"/>
                    <w:rPr>
                      <w:rFonts w:ascii="Arial" w:eastAsia="Times New Roman" w:hAnsi="Arial" w:cs="Arial"/>
                      <w:color w:val="000000"/>
                      <w:sz w:val="21"/>
                      <w:szCs w:val="21"/>
                      <w:lang w:eastAsia="en-IN"/>
                    </w:rPr>
                  </w:pPr>
                </w:p>
              </w:tc>
              <w:tc>
                <w:tcPr>
                  <w:tcW w:w="3547" w:type="dxa"/>
                  <w:vMerge/>
                  <w:tcBorders>
                    <w:bottom w:val="single" w:sz="4" w:space="0" w:color="auto"/>
                  </w:tcBorders>
                  <w:vAlign w:val="center"/>
                  <w:hideMark/>
                </w:tcPr>
                <w:p w:rsidR="00B17439" w:rsidRPr="000F39FD" w:rsidRDefault="00B17439" w:rsidP="00B17439">
                  <w:pPr>
                    <w:rPr>
                      <w:rFonts w:ascii="Arial" w:eastAsia="Times New Roman" w:hAnsi="Arial" w:cs="Arial"/>
                      <w:color w:val="000000"/>
                      <w:sz w:val="21"/>
                      <w:szCs w:val="21"/>
                      <w:lang w:eastAsia="en-IN"/>
                    </w:rPr>
                  </w:pPr>
                </w:p>
              </w:tc>
              <w:tc>
                <w:tcPr>
                  <w:tcW w:w="3535" w:type="dxa"/>
                  <w:vMerge w:val="restart"/>
                  <w:tcBorders>
                    <w:bottom w:val="single" w:sz="4" w:space="0" w:color="auto"/>
                  </w:tcBorders>
                  <w:shd w:val="clear" w:color="000000" w:fill="00B050"/>
                  <w:noWrap/>
                  <w:vAlign w:val="center"/>
                  <w:hideMark/>
                </w:tcPr>
                <w:p w:rsidR="00B17439" w:rsidRPr="000F39FD" w:rsidRDefault="00B17439" w:rsidP="00B17439">
                  <w:pPr>
                    <w:jc w:val="center"/>
                    <w:rPr>
                      <w:rFonts w:ascii="Arial" w:eastAsia="Times New Roman" w:hAnsi="Arial" w:cs="Arial"/>
                      <w:color w:val="000000"/>
                      <w:sz w:val="21"/>
                      <w:szCs w:val="21"/>
                      <w:lang w:eastAsia="en-IN"/>
                    </w:rPr>
                  </w:pPr>
                  <w:r w:rsidRPr="000F39FD">
                    <w:rPr>
                      <w:rFonts w:ascii="Arial" w:eastAsia="Times New Roman" w:hAnsi="Arial" w:cs="Arial"/>
                      <w:color w:val="000000"/>
                      <w:sz w:val="21"/>
                      <w:szCs w:val="21"/>
                      <w:lang w:eastAsia="en-IN"/>
                    </w:rPr>
                    <w:t>Fixed Assets</w:t>
                  </w:r>
                </w:p>
              </w:tc>
              <w:tc>
                <w:tcPr>
                  <w:tcW w:w="364" w:type="dxa"/>
                  <w:vMerge w:val="restart"/>
                  <w:tcBorders>
                    <w:bottom w:val="single" w:sz="4" w:space="0" w:color="auto"/>
                  </w:tcBorders>
                  <w:shd w:val="clear" w:color="auto" w:fill="7030A0"/>
                  <w:textDirection w:val="tbRl"/>
                </w:tcPr>
                <w:p w:rsidR="00B17439" w:rsidRPr="000F39FD" w:rsidRDefault="00B17439" w:rsidP="00B17439">
                  <w:pPr>
                    <w:ind w:left="113" w:right="113"/>
                    <w:jc w:val="center"/>
                    <w:rPr>
                      <w:rFonts w:ascii="Arial" w:eastAsia="Times New Roman" w:hAnsi="Arial" w:cs="Arial"/>
                      <w:sz w:val="12"/>
                      <w:szCs w:val="12"/>
                      <w:lang w:eastAsia="en-IN"/>
                    </w:rPr>
                  </w:pPr>
                  <w:r w:rsidRPr="000F39FD">
                    <w:rPr>
                      <w:rFonts w:ascii="Arial" w:eastAsia="Times New Roman" w:hAnsi="Arial" w:cs="Arial"/>
                      <w:color w:val="FFFFFF" w:themeColor="background1"/>
                      <w:sz w:val="12"/>
                      <w:szCs w:val="12"/>
                      <w:lang w:eastAsia="en-IN"/>
                    </w:rPr>
                    <w:t>Long Term Uses</w:t>
                  </w:r>
                </w:p>
              </w:tc>
            </w:tr>
            <w:tr w:rsidR="00B17439" w:rsidRPr="000F39FD" w:rsidTr="0008190F">
              <w:trPr>
                <w:trHeight w:val="580"/>
                <w:jc w:val="center"/>
              </w:trPr>
              <w:tc>
                <w:tcPr>
                  <w:tcW w:w="364" w:type="dxa"/>
                  <w:vMerge/>
                  <w:tcBorders>
                    <w:bottom w:val="single" w:sz="4" w:space="0" w:color="auto"/>
                  </w:tcBorders>
                  <w:shd w:val="clear" w:color="auto" w:fill="7030A0"/>
                </w:tcPr>
                <w:p w:rsidR="00B17439" w:rsidRPr="000F39FD" w:rsidRDefault="00B17439" w:rsidP="00B17439">
                  <w:pPr>
                    <w:jc w:val="center"/>
                    <w:rPr>
                      <w:rFonts w:ascii="Arial" w:eastAsia="Times New Roman" w:hAnsi="Arial" w:cs="Arial"/>
                      <w:color w:val="000000"/>
                      <w:sz w:val="21"/>
                      <w:szCs w:val="21"/>
                      <w:lang w:eastAsia="en-IN"/>
                    </w:rPr>
                  </w:pPr>
                </w:p>
              </w:tc>
              <w:tc>
                <w:tcPr>
                  <w:tcW w:w="364" w:type="dxa"/>
                  <w:vMerge w:val="restart"/>
                  <w:shd w:val="clear" w:color="auto" w:fill="C5E0B3" w:themeFill="accent6" w:themeFillTint="66"/>
                  <w:textDirection w:val="btLr"/>
                </w:tcPr>
                <w:p w:rsidR="00B17439" w:rsidRPr="000F39FD" w:rsidRDefault="00B17439" w:rsidP="00B17439">
                  <w:pPr>
                    <w:ind w:left="113" w:right="113"/>
                    <w:jc w:val="center"/>
                    <w:rPr>
                      <w:rFonts w:ascii="Arial" w:eastAsia="Times New Roman" w:hAnsi="Arial" w:cs="Arial"/>
                      <w:color w:val="000000"/>
                      <w:sz w:val="12"/>
                      <w:szCs w:val="12"/>
                      <w:lang w:eastAsia="en-IN"/>
                    </w:rPr>
                  </w:pPr>
                  <w:r w:rsidRPr="000F39FD">
                    <w:rPr>
                      <w:rFonts w:ascii="Arial" w:eastAsia="Times New Roman" w:hAnsi="Arial" w:cs="Arial"/>
                      <w:color w:val="000000"/>
                      <w:sz w:val="12"/>
                      <w:szCs w:val="12"/>
                      <w:lang w:eastAsia="en-IN"/>
                    </w:rPr>
                    <w:t>Net Worth</w:t>
                  </w:r>
                </w:p>
              </w:tc>
              <w:tc>
                <w:tcPr>
                  <w:tcW w:w="3547" w:type="dxa"/>
                  <w:tcBorders>
                    <w:bottom w:val="single" w:sz="4" w:space="0" w:color="auto"/>
                  </w:tcBorders>
                  <w:shd w:val="clear" w:color="auto" w:fill="FFCC99"/>
                  <w:noWrap/>
                  <w:vAlign w:val="center"/>
                  <w:hideMark/>
                </w:tcPr>
                <w:p w:rsidR="00B17439" w:rsidRPr="000F39FD" w:rsidRDefault="00B17439" w:rsidP="00B17439">
                  <w:pPr>
                    <w:jc w:val="center"/>
                    <w:rPr>
                      <w:rFonts w:ascii="Arial" w:eastAsia="Times New Roman" w:hAnsi="Arial" w:cs="Arial"/>
                      <w:color w:val="000000"/>
                      <w:sz w:val="21"/>
                      <w:szCs w:val="21"/>
                      <w:lang w:eastAsia="en-IN"/>
                    </w:rPr>
                  </w:pPr>
                  <w:r w:rsidRPr="000F39FD">
                    <w:rPr>
                      <w:rFonts w:ascii="Arial" w:eastAsia="Times New Roman" w:hAnsi="Arial" w:cs="Arial"/>
                      <w:color w:val="000000"/>
                      <w:sz w:val="21"/>
                      <w:szCs w:val="21"/>
                      <w:lang w:eastAsia="en-IN"/>
                    </w:rPr>
                    <w:t>Reserves and Surpluses</w:t>
                  </w:r>
                </w:p>
              </w:tc>
              <w:tc>
                <w:tcPr>
                  <w:tcW w:w="3535" w:type="dxa"/>
                  <w:vMerge/>
                  <w:tcBorders>
                    <w:bottom w:val="single" w:sz="4" w:space="0" w:color="auto"/>
                  </w:tcBorders>
                  <w:vAlign w:val="center"/>
                  <w:hideMark/>
                </w:tcPr>
                <w:p w:rsidR="00B17439" w:rsidRPr="000F39FD" w:rsidRDefault="00B17439" w:rsidP="00B17439">
                  <w:pPr>
                    <w:rPr>
                      <w:rFonts w:ascii="Arial" w:eastAsia="Times New Roman" w:hAnsi="Arial" w:cs="Arial"/>
                      <w:color w:val="000000"/>
                      <w:sz w:val="21"/>
                      <w:szCs w:val="21"/>
                      <w:lang w:eastAsia="en-IN"/>
                    </w:rPr>
                  </w:pPr>
                </w:p>
              </w:tc>
              <w:tc>
                <w:tcPr>
                  <w:tcW w:w="364" w:type="dxa"/>
                  <w:vMerge/>
                  <w:tcBorders>
                    <w:bottom w:val="single" w:sz="4" w:space="0" w:color="auto"/>
                  </w:tcBorders>
                  <w:shd w:val="clear" w:color="auto" w:fill="7030A0"/>
                </w:tcPr>
                <w:p w:rsidR="00B17439" w:rsidRPr="000F39FD" w:rsidRDefault="00B17439" w:rsidP="00B17439">
                  <w:pPr>
                    <w:rPr>
                      <w:rFonts w:ascii="Arial" w:eastAsia="Times New Roman" w:hAnsi="Arial" w:cs="Arial"/>
                      <w:sz w:val="21"/>
                      <w:szCs w:val="21"/>
                      <w:lang w:eastAsia="en-IN"/>
                    </w:rPr>
                  </w:pPr>
                </w:p>
              </w:tc>
            </w:tr>
            <w:tr w:rsidR="00B17439" w:rsidRPr="000F39FD" w:rsidTr="0008190F">
              <w:trPr>
                <w:trHeight w:val="285"/>
                <w:jc w:val="center"/>
              </w:trPr>
              <w:tc>
                <w:tcPr>
                  <w:tcW w:w="364" w:type="dxa"/>
                  <w:vMerge/>
                  <w:shd w:val="clear" w:color="auto" w:fill="7030A0"/>
                </w:tcPr>
                <w:p w:rsidR="00B17439" w:rsidRPr="000F39FD" w:rsidRDefault="00B17439" w:rsidP="00B17439">
                  <w:pPr>
                    <w:jc w:val="center"/>
                    <w:rPr>
                      <w:rFonts w:ascii="Arial" w:eastAsia="Times New Roman" w:hAnsi="Arial" w:cs="Arial"/>
                      <w:color w:val="000000"/>
                      <w:sz w:val="21"/>
                      <w:szCs w:val="21"/>
                      <w:lang w:eastAsia="en-IN"/>
                    </w:rPr>
                  </w:pPr>
                </w:p>
              </w:tc>
              <w:tc>
                <w:tcPr>
                  <w:tcW w:w="364" w:type="dxa"/>
                  <w:vMerge/>
                  <w:shd w:val="clear" w:color="auto" w:fill="C5E0B3" w:themeFill="accent6" w:themeFillTint="66"/>
                </w:tcPr>
                <w:p w:rsidR="00B17439" w:rsidRPr="000F39FD" w:rsidRDefault="00B17439" w:rsidP="00B17439">
                  <w:pPr>
                    <w:jc w:val="center"/>
                    <w:rPr>
                      <w:rFonts w:ascii="Arial" w:eastAsia="Times New Roman" w:hAnsi="Arial" w:cs="Arial"/>
                      <w:color w:val="000000"/>
                      <w:sz w:val="21"/>
                      <w:szCs w:val="21"/>
                      <w:lang w:eastAsia="en-IN"/>
                    </w:rPr>
                  </w:pPr>
                </w:p>
              </w:tc>
              <w:tc>
                <w:tcPr>
                  <w:tcW w:w="3547" w:type="dxa"/>
                  <w:vMerge w:val="restart"/>
                  <w:shd w:val="clear" w:color="000000" w:fill="FFCC66"/>
                  <w:noWrap/>
                  <w:vAlign w:val="center"/>
                  <w:hideMark/>
                </w:tcPr>
                <w:p w:rsidR="00B17439" w:rsidRPr="000F39FD" w:rsidRDefault="00B17439" w:rsidP="00B17439">
                  <w:pPr>
                    <w:jc w:val="center"/>
                    <w:rPr>
                      <w:rFonts w:ascii="Arial" w:eastAsia="Times New Roman" w:hAnsi="Arial" w:cs="Arial"/>
                      <w:color w:val="000000"/>
                      <w:sz w:val="21"/>
                      <w:szCs w:val="21"/>
                      <w:lang w:eastAsia="en-IN"/>
                    </w:rPr>
                  </w:pPr>
                  <w:r w:rsidRPr="000F39FD">
                    <w:rPr>
                      <w:rFonts w:ascii="Arial" w:eastAsia="Times New Roman" w:hAnsi="Arial" w:cs="Arial"/>
                      <w:color w:val="000000"/>
                      <w:sz w:val="21"/>
                      <w:szCs w:val="21"/>
                      <w:lang w:eastAsia="en-IN"/>
                    </w:rPr>
                    <w:t>Paid Up Capital</w:t>
                  </w:r>
                </w:p>
              </w:tc>
              <w:tc>
                <w:tcPr>
                  <w:tcW w:w="3535" w:type="dxa"/>
                  <w:shd w:val="clear" w:color="000000" w:fill="D9D9D9"/>
                  <w:noWrap/>
                  <w:vAlign w:val="center"/>
                  <w:hideMark/>
                </w:tcPr>
                <w:p w:rsidR="00B17439" w:rsidRPr="000F39FD" w:rsidRDefault="00B17439" w:rsidP="00B17439">
                  <w:pPr>
                    <w:jc w:val="center"/>
                    <w:rPr>
                      <w:rFonts w:ascii="Arial" w:eastAsia="Times New Roman" w:hAnsi="Arial" w:cs="Arial"/>
                      <w:color w:val="000000"/>
                      <w:sz w:val="21"/>
                      <w:szCs w:val="21"/>
                      <w:lang w:eastAsia="en-IN"/>
                    </w:rPr>
                  </w:pPr>
                  <w:r w:rsidRPr="000F39FD">
                    <w:rPr>
                      <w:rFonts w:ascii="Arial" w:eastAsia="Times New Roman" w:hAnsi="Arial" w:cs="Arial"/>
                      <w:color w:val="000000"/>
                      <w:sz w:val="21"/>
                      <w:szCs w:val="21"/>
                      <w:lang w:eastAsia="en-IN"/>
                    </w:rPr>
                    <w:t>O</w:t>
                  </w:r>
                  <w:r>
                    <w:rPr>
                      <w:rFonts w:ascii="Arial" w:eastAsia="Times New Roman" w:hAnsi="Arial" w:cs="Arial"/>
                      <w:color w:val="000000"/>
                      <w:sz w:val="21"/>
                      <w:szCs w:val="21"/>
                      <w:lang w:eastAsia="en-IN"/>
                    </w:rPr>
                    <w:t xml:space="preserve">ther </w:t>
                  </w:r>
                  <w:r w:rsidRPr="000F39FD">
                    <w:rPr>
                      <w:rFonts w:ascii="Arial" w:eastAsia="Times New Roman" w:hAnsi="Arial" w:cs="Arial"/>
                      <w:color w:val="000000"/>
                      <w:sz w:val="21"/>
                      <w:szCs w:val="21"/>
                      <w:lang w:eastAsia="en-IN"/>
                    </w:rPr>
                    <w:t>N</w:t>
                  </w:r>
                  <w:r>
                    <w:rPr>
                      <w:rFonts w:ascii="Arial" w:eastAsia="Times New Roman" w:hAnsi="Arial" w:cs="Arial"/>
                      <w:color w:val="000000"/>
                      <w:sz w:val="21"/>
                      <w:szCs w:val="21"/>
                      <w:lang w:eastAsia="en-IN"/>
                    </w:rPr>
                    <w:t>on-</w:t>
                  </w:r>
                  <w:r w:rsidRPr="000F39FD">
                    <w:rPr>
                      <w:rFonts w:ascii="Arial" w:eastAsia="Times New Roman" w:hAnsi="Arial" w:cs="Arial"/>
                      <w:color w:val="000000"/>
                      <w:sz w:val="21"/>
                      <w:szCs w:val="21"/>
                      <w:lang w:eastAsia="en-IN"/>
                    </w:rPr>
                    <w:t>C</w:t>
                  </w:r>
                  <w:r>
                    <w:rPr>
                      <w:rFonts w:ascii="Arial" w:eastAsia="Times New Roman" w:hAnsi="Arial" w:cs="Arial"/>
                      <w:color w:val="000000"/>
                      <w:sz w:val="21"/>
                      <w:szCs w:val="21"/>
                      <w:lang w:eastAsia="en-IN"/>
                    </w:rPr>
                    <w:t xml:space="preserve">urrent </w:t>
                  </w:r>
                  <w:r w:rsidRPr="000F39FD">
                    <w:rPr>
                      <w:rFonts w:ascii="Arial" w:eastAsia="Times New Roman" w:hAnsi="Arial" w:cs="Arial"/>
                      <w:color w:val="000000"/>
                      <w:sz w:val="21"/>
                      <w:szCs w:val="21"/>
                      <w:lang w:eastAsia="en-IN"/>
                    </w:rPr>
                    <w:t>A</w:t>
                  </w:r>
                  <w:r>
                    <w:rPr>
                      <w:rFonts w:ascii="Arial" w:eastAsia="Times New Roman" w:hAnsi="Arial" w:cs="Arial"/>
                      <w:color w:val="000000"/>
                      <w:sz w:val="21"/>
                      <w:szCs w:val="21"/>
                      <w:lang w:eastAsia="en-IN"/>
                    </w:rPr>
                    <w:t>ssets</w:t>
                  </w:r>
                </w:p>
              </w:tc>
              <w:tc>
                <w:tcPr>
                  <w:tcW w:w="364" w:type="dxa"/>
                  <w:vMerge/>
                  <w:shd w:val="clear" w:color="auto" w:fill="7030A0"/>
                </w:tcPr>
                <w:p w:rsidR="00B17439" w:rsidRPr="000F39FD" w:rsidRDefault="00B17439" w:rsidP="00B17439">
                  <w:pPr>
                    <w:rPr>
                      <w:rFonts w:ascii="Arial" w:eastAsia="Times New Roman" w:hAnsi="Arial" w:cs="Arial"/>
                      <w:sz w:val="21"/>
                      <w:szCs w:val="21"/>
                      <w:lang w:eastAsia="en-IN"/>
                    </w:rPr>
                  </w:pPr>
                </w:p>
              </w:tc>
            </w:tr>
            <w:tr w:rsidR="00B17439" w:rsidRPr="000F39FD" w:rsidTr="0008190F">
              <w:trPr>
                <w:trHeight w:val="285"/>
                <w:jc w:val="center"/>
              </w:trPr>
              <w:tc>
                <w:tcPr>
                  <w:tcW w:w="364" w:type="dxa"/>
                  <w:vMerge/>
                  <w:shd w:val="clear" w:color="auto" w:fill="7030A0"/>
                </w:tcPr>
                <w:p w:rsidR="00B17439" w:rsidRPr="000F39FD" w:rsidRDefault="00B17439" w:rsidP="00B17439">
                  <w:pPr>
                    <w:rPr>
                      <w:rFonts w:ascii="Arial" w:eastAsia="Times New Roman" w:hAnsi="Arial" w:cs="Arial"/>
                      <w:color w:val="000000"/>
                      <w:sz w:val="21"/>
                      <w:szCs w:val="21"/>
                      <w:lang w:eastAsia="en-IN"/>
                    </w:rPr>
                  </w:pPr>
                </w:p>
              </w:tc>
              <w:tc>
                <w:tcPr>
                  <w:tcW w:w="364" w:type="dxa"/>
                  <w:vMerge/>
                  <w:shd w:val="clear" w:color="auto" w:fill="C5E0B3" w:themeFill="accent6" w:themeFillTint="66"/>
                </w:tcPr>
                <w:p w:rsidR="00B17439" w:rsidRPr="000F39FD" w:rsidRDefault="00B17439" w:rsidP="00B17439">
                  <w:pPr>
                    <w:rPr>
                      <w:rFonts w:ascii="Arial" w:eastAsia="Times New Roman" w:hAnsi="Arial" w:cs="Arial"/>
                      <w:color w:val="000000"/>
                      <w:sz w:val="21"/>
                      <w:szCs w:val="21"/>
                      <w:lang w:eastAsia="en-IN"/>
                    </w:rPr>
                  </w:pPr>
                </w:p>
              </w:tc>
              <w:tc>
                <w:tcPr>
                  <w:tcW w:w="3547" w:type="dxa"/>
                  <w:vMerge/>
                  <w:vAlign w:val="center"/>
                  <w:hideMark/>
                </w:tcPr>
                <w:p w:rsidR="00B17439" w:rsidRPr="000F39FD" w:rsidRDefault="00B17439" w:rsidP="00B17439">
                  <w:pPr>
                    <w:rPr>
                      <w:rFonts w:ascii="Arial" w:eastAsia="Times New Roman" w:hAnsi="Arial" w:cs="Arial"/>
                      <w:color w:val="000000"/>
                      <w:sz w:val="21"/>
                      <w:szCs w:val="21"/>
                      <w:lang w:eastAsia="en-IN"/>
                    </w:rPr>
                  </w:pPr>
                </w:p>
              </w:tc>
              <w:tc>
                <w:tcPr>
                  <w:tcW w:w="3535" w:type="dxa"/>
                  <w:shd w:val="clear" w:color="000000" w:fill="A6A6A6"/>
                  <w:noWrap/>
                  <w:vAlign w:val="center"/>
                  <w:hideMark/>
                </w:tcPr>
                <w:p w:rsidR="00B17439" w:rsidRPr="000F39FD" w:rsidRDefault="00B17439" w:rsidP="00B17439">
                  <w:pPr>
                    <w:jc w:val="center"/>
                    <w:rPr>
                      <w:rFonts w:ascii="Arial" w:eastAsia="Times New Roman" w:hAnsi="Arial" w:cs="Arial"/>
                      <w:color w:val="000000"/>
                      <w:sz w:val="21"/>
                      <w:szCs w:val="21"/>
                      <w:lang w:eastAsia="en-IN"/>
                    </w:rPr>
                  </w:pPr>
                  <w:r w:rsidRPr="000F39FD">
                    <w:rPr>
                      <w:rFonts w:ascii="Arial" w:eastAsia="Times New Roman" w:hAnsi="Arial" w:cs="Arial"/>
                      <w:color w:val="000000"/>
                      <w:sz w:val="21"/>
                      <w:szCs w:val="21"/>
                      <w:lang w:eastAsia="en-IN"/>
                    </w:rPr>
                    <w:t>Intangible assets</w:t>
                  </w:r>
                </w:p>
              </w:tc>
              <w:tc>
                <w:tcPr>
                  <w:tcW w:w="364" w:type="dxa"/>
                  <w:vMerge/>
                  <w:shd w:val="clear" w:color="auto" w:fill="7030A0"/>
                </w:tcPr>
                <w:p w:rsidR="00B17439" w:rsidRPr="000F39FD" w:rsidRDefault="00B17439" w:rsidP="00B17439">
                  <w:pPr>
                    <w:rPr>
                      <w:rFonts w:ascii="Arial" w:eastAsia="Times New Roman" w:hAnsi="Arial" w:cs="Arial"/>
                      <w:sz w:val="21"/>
                      <w:szCs w:val="21"/>
                      <w:lang w:eastAsia="en-IN"/>
                    </w:rPr>
                  </w:pPr>
                </w:p>
              </w:tc>
            </w:tr>
          </w:tbl>
          <w:p w:rsidR="00B17439" w:rsidRDefault="00B17439" w:rsidP="00B17439">
            <w:pPr>
              <w:pStyle w:val="NoSpacing"/>
              <w:rPr>
                <w:b/>
                <w:sz w:val="28"/>
              </w:rPr>
            </w:pPr>
          </w:p>
        </w:tc>
      </w:tr>
      <w:tr w:rsidR="00B17439" w:rsidTr="004E23A1">
        <w:tc>
          <w:tcPr>
            <w:tcW w:w="10529" w:type="dxa"/>
            <w:gridSpan w:val="4"/>
          </w:tcPr>
          <w:p w:rsidR="00B17439" w:rsidRDefault="00B17439" w:rsidP="007946EE">
            <w:pPr>
              <w:pStyle w:val="NoSpacing"/>
              <w:jc w:val="center"/>
              <w:rPr>
                <w:b/>
                <w:sz w:val="28"/>
              </w:rPr>
            </w:pPr>
          </w:p>
        </w:tc>
      </w:tr>
      <w:tr w:rsidR="00B17439" w:rsidTr="004E23A1">
        <w:tc>
          <w:tcPr>
            <w:tcW w:w="10529" w:type="dxa"/>
            <w:gridSpan w:val="4"/>
          </w:tcPr>
          <w:p w:rsidR="00B17439" w:rsidRDefault="00B17439" w:rsidP="007946EE">
            <w:pPr>
              <w:pStyle w:val="NoSpacing"/>
              <w:jc w:val="center"/>
              <w:rPr>
                <w:b/>
                <w:sz w:val="28"/>
              </w:rPr>
            </w:pPr>
          </w:p>
        </w:tc>
      </w:tr>
      <w:tr w:rsidR="00F26EA0" w:rsidTr="004E23A1">
        <w:tc>
          <w:tcPr>
            <w:tcW w:w="10529" w:type="dxa"/>
            <w:gridSpan w:val="4"/>
          </w:tcPr>
          <w:p w:rsidR="00F26EA0" w:rsidRPr="00F26EA0" w:rsidRDefault="007946EE" w:rsidP="007946EE">
            <w:pPr>
              <w:pStyle w:val="NoSpacing"/>
              <w:jc w:val="center"/>
              <w:rPr>
                <w:b/>
              </w:rPr>
            </w:pPr>
            <w:r>
              <w:rPr>
                <w:b/>
                <w:sz w:val="28"/>
              </w:rPr>
              <w:t>Bank Financial Management (BFM)</w:t>
            </w:r>
          </w:p>
        </w:tc>
      </w:tr>
      <w:tr w:rsidR="003B2694" w:rsidTr="004E23A1">
        <w:tc>
          <w:tcPr>
            <w:tcW w:w="745" w:type="dxa"/>
          </w:tcPr>
          <w:p w:rsidR="003B2694" w:rsidRPr="00F26EA0" w:rsidRDefault="00F26EA0" w:rsidP="003B2694">
            <w:pPr>
              <w:pStyle w:val="NoSpacing"/>
              <w:rPr>
                <w:sz w:val="24"/>
              </w:rPr>
            </w:pPr>
            <w:r>
              <w:rPr>
                <w:sz w:val="24"/>
              </w:rPr>
              <w:t>1</w:t>
            </w:r>
          </w:p>
        </w:tc>
        <w:tc>
          <w:tcPr>
            <w:tcW w:w="847" w:type="dxa"/>
          </w:tcPr>
          <w:p w:rsidR="003B2694" w:rsidRPr="00F26EA0" w:rsidRDefault="00E01CC0" w:rsidP="003B2694">
            <w:pPr>
              <w:pStyle w:val="NoSpacing"/>
              <w:rPr>
                <w:sz w:val="24"/>
              </w:rPr>
            </w:pPr>
            <w:r>
              <w:rPr>
                <w:sz w:val="24"/>
              </w:rPr>
              <w:t>285</w:t>
            </w:r>
          </w:p>
        </w:tc>
        <w:tc>
          <w:tcPr>
            <w:tcW w:w="4765" w:type="dxa"/>
          </w:tcPr>
          <w:p w:rsidR="003B2694" w:rsidRPr="00F26EA0" w:rsidRDefault="00E01CC0" w:rsidP="00F26EA0">
            <w:pPr>
              <w:pStyle w:val="NoSpacing"/>
              <w:rPr>
                <w:sz w:val="24"/>
              </w:rPr>
            </w:pPr>
            <w:r>
              <w:rPr>
                <w:sz w:val="24"/>
              </w:rPr>
              <w:t xml:space="preserve">Given in Table </w:t>
            </w:r>
            <w:r w:rsidRPr="00E01CC0">
              <w:rPr>
                <w:sz w:val="24"/>
                <w:highlight w:val="yellow"/>
              </w:rPr>
              <w:t>8.1</w:t>
            </w:r>
          </w:p>
        </w:tc>
        <w:tc>
          <w:tcPr>
            <w:tcW w:w="4172" w:type="dxa"/>
          </w:tcPr>
          <w:p w:rsidR="00F26EA0" w:rsidRPr="00F26EA0" w:rsidRDefault="00E01CC0" w:rsidP="00F26EA0">
            <w:pPr>
              <w:pStyle w:val="NoSpacing"/>
              <w:rPr>
                <w:sz w:val="24"/>
              </w:rPr>
            </w:pPr>
            <w:r>
              <w:rPr>
                <w:sz w:val="24"/>
              </w:rPr>
              <w:t xml:space="preserve">Given in Table </w:t>
            </w:r>
            <w:r w:rsidRPr="00E01CC0">
              <w:rPr>
                <w:color w:val="FF0000"/>
                <w:sz w:val="24"/>
              </w:rPr>
              <w:t>11.1</w:t>
            </w:r>
          </w:p>
        </w:tc>
      </w:tr>
      <w:tr w:rsidR="00F6604E" w:rsidTr="004E23A1">
        <w:tc>
          <w:tcPr>
            <w:tcW w:w="745" w:type="dxa"/>
          </w:tcPr>
          <w:p w:rsidR="00F6604E" w:rsidRPr="00F26EA0" w:rsidRDefault="00F6604E" w:rsidP="003B2694">
            <w:pPr>
              <w:pStyle w:val="NoSpacing"/>
              <w:rPr>
                <w:sz w:val="24"/>
              </w:rPr>
            </w:pPr>
          </w:p>
        </w:tc>
        <w:tc>
          <w:tcPr>
            <w:tcW w:w="847" w:type="dxa"/>
          </w:tcPr>
          <w:p w:rsidR="00F6604E" w:rsidRPr="00F26EA0" w:rsidRDefault="00F6604E" w:rsidP="003B2694">
            <w:pPr>
              <w:pStyle w:val="NoSpacing"/>
              <w:rPr>
                <w:sz w:val="24"/>
              </w:rPr>
            </w:pPr>
          </w:p>
        </w:tc>
        <w:tc>
          <w:tcPr>
            <w:tcW w:w="4765" w:type="dxa"/>
          </w:tcPr>
          <w:p w:rsidR="00F6604E" w:rsidRPr="00F26EA0" w:rsidRDefault="00F6604E" w:rsidP="003B2694">
            <w:pPr>
              <w:pStyle w:val="NoSpacing"/>
              <w:rPr>
                <w:sz w:val="24"/>
              </w:rPr>
            </w:pPr>
          </w:p>
        </w:tc>
        <w:tc>
          <w:tcPr>
            <w:tcW w:w="4172" w:type="dxa"/>
          </w:tcPr>
          <w:p w:rsidR="00F6604E" w:rsidRPr="00F26EA0" w:rsidRDefault="00F6604E" w:rsidP="003B2694">
            <w:pPr>
              <w:pStyle w:val="NoSpacing"/>
              <w:rPr>
                <w:sz w:val="24"/>
              </w:rPr>
            </w:pPr>
          </w:p>
        </w:tc>
      </w:tr>
      <w:tr w:rsidR="00F6604E" w:rsidTr="004E23A1">
        <w:tc>
          <w:tcPr>
            <w:tcW w:w="745" w:type="dxa"/>
          </w:tcPr>
          <w:p w:rsidR="00F6604E" w:rsidRPr="00F26EA0" w:rsidRDefault="00F6604E" w:rsidP="003B2694">
            <w:pPr>
              <w:pStyle w:val="NoSpacing"/>
              <w:rPr>
                <w:sz w:val="24"/>
              </w:rPr>
            </w:pPr>
          </w:p>
        </w:tc>
        <w:tc>
          <w:tcPr>
            <w:tcW w:w="847" w:type="dxa"/>
          </w:tcPr>
          <w:p w:rsidR="00F6604E" w:rsidRPr="00F26EA0" w:rsidRDefault="00F6604E" w:rsidP="003B2694">
            <w:pPr>
              <w:pStyle w:val="NoSpacing"/>
              <w:rPr>
                <w:sz w:val="24"/>
              </w:rPr>
            </w:pPr>
          </w:p>
        </w:tc>
        <w:tc>
          <w:tcPr>
            <w:tcW w:w="4765" w:type="dxa"/>
          </w:tcPr>
          <w:p w:rsidR="00F6604E" w:rsidRPr="00F26EA0" w:rsidRDefault="00F6604E" w:rsidP="003B2694">
            <w:pPr>
              <w:pStyle w:val="NoSpacing"/>
              <w:rPr>
                <w:sz w:val="24"/>
              </w:rPr>
            </w:pPr>
          </w:p>
        </w:tc>
        <w:tc>
          <w:tcPr>
            <w:tcW w:w="4172" w:type="dxa"/>
          </w:tcPr>
          <w:p w:rsidR="00F6604E" w:rsidRPr="00F26EA0" w:rsidRDefault="00F6604E" w:rsidP="003B2694">
            <w:pPr>
              <w:pStyle w:val="NoSpacing"/>
              <w:rPr>
                <w:sz w:val="24"/>
              </w:rPr>
            </w:pPr>
          </w:p>
        </w:tc>
      </w:tr>
      <w:tr w:rsidR="00F6604E" w:rsidTr="004E23A1">
        <w:tc>
          <w:tcPr>
            <w:tcW w:w="745" w:type="dxa"/>
          </w:tcPr>
          <w:p w:rsidR="00F6604E" w:rsidRPr="00F26EA0" w:rsidRDefault="00F6604E" w:rsidP="003B2694">
            <w:pPr>
              <w:pStyle w:val="NoSpacing"/>
              <w:rPr>
                <w:sz w:val="24"/>
              </w:rPr>
            </w:pPr>
          </w:p>
        </w:tc>
        <w:tc>
          <w:tcPr>
            <w:tcW w:w="847" w:type="dxa"/>
          </w:tcPr>
          <w:p w:rsidR="00F6604E" w:rsidRPr="00F26EA0" w:rsidRDefault="00F6604E" w:rsidP="003B2694">
            <w:pPr>
              <w:pStyle w:val="NoSpacing"/>
              <w:rPr>
                <w:sz w:val="24"/>
              </w:rPr>
            </w:pPr>
          </w:p>
        </w:tc>
        <w:tc>
          <w:tcPr>
            <w:tcW w:w="4765" w:type="dxa"/>
          </w:tcPr>
          <w:p w:rsidR="00F6604E" w:rsidRPr="00F26EA0" w:rsidRDefault="00F6604E" w:rsidP="003B2694">
            <w:pPr>
              <w:pStyle w:val="NoSpacing"/>
              <w:rPr>
                <w:sz w:val="24"/>
              </w:rPr>
            </w:pPr>
          </w:p>
        </w:tc>
        <w:tc>
          <w:tcPr>
            <w:tcW w:w="4172" w:type="dxa"/>
          </w:tcPr>
          <w:p w:rsidR="00F6604E" w:rsidRPr="00F26EA0" w:rsidRDefault="00F6604E" w:rsidP="003B2694">
            <w:pPr>
              <w:pStyle w:val="NoSpacing"/>
              <w:rPr>
                <w:sz w:val="24"/>
              </w:rPr>
            </w:pPr>
          </w:p>
        </w:tc>
      </w:tr>
      <w:tr w:rsidR="00F6604E" w:rsidTr="004E23A1">
        <w:tc>
          <w:tcPr>
            <w:tcW w:w="10529" w:type="dxa"/>
            <w:gridSpan w:val="4"/>
          </w:tcPr>
          <w:p w:rsidR="00F6604E" w:rsidRPr="00F6604E" w:rsidRDefault="007946EE" w:rsidP="007946EE">
            <w:pPr>
              <w:pStyle w:val="NoSpacing"/>
              <w:jc w:val="center"/>
              <w:rPr>
                <w:b/>
                <w:sz w:val="24"/>
              </w:rPr>
            </w:pPr>
            <w:r>
              <w:rPr>
                <w:b/>
                <w:sz w:val="28"/>
              </w:rPr>
              <w:t>Advanced Business &amp; Financial Management (ABFM)</w:t>
            </w:r>
          </w:p>
        </w:tc>
      </w:tr>
      <w:tr w:rsidR="00F6604E" w:rsidTr="004E23A1">
        <w:tc>
          <w:tcPr>
            <w:tcW w:w="745" w:type="dxa"/>
          </w:tcPr>
          <w:p w:rsidR="00F6604E" w:rsidRPr="00F26EA0" w:rsidRDefault="00F6604E" w:rsidP="003B2694">
            <w:pPr>
              <w:pStyle w:val="NoSpacing"/>
              <w:rPr>
                <w:sz w:val="24"/>
              </w:rPr>
            </w:pPr>
            <w:r>
              <w:rPr>
                <w:sz w:val="24"/>
              </w:rPr>
              <w:t>1</w:t>
            </w:r>
          </w:p>
        </w:tc>
        <w:tc>
          <w:tcPr>
            <w:tcW w:w="847" w:type="dxa"/>
          </w:tcPr>
          <w:p w:rsidR="00F6604E" w:rsidRPr="00F26EA0" w:rsidRDefault="003A31B2" w:rsidP="003B2694">
            <w:pPr>
              <w:pStyle w:val="NoSpacing"/>
              <w:rPr>
                <w:sz w:val="24"/>
              </w:rPr>
            </w:pPr>
            <w:r>
              <w:rPr>
                <w:sz w:val="24"/>
              </w:rPr>
              <w:t>130</w:t>
            </w:r>
          </w:p>
        </w:tc>
        <w:tc>
          <w:tcPr>
            <w:tcW w:w="4765" w:type="dxa"/>
          </w:tcPr>
          <w:p w:rsidR="00F6604E" w:rsidRDefault="003A31B2" w:rsidP="00F6604E">
            <w:pPr>
              <w:pStyle w:val="NoSpacing"/>
              <w:rPr>
                <w:sz w:val="24"/>
              </w:rPr>
            </w:pPr>
            <w:r>
              <w:rPr>
                <w:sz w:val="24"/>
              </w:rPr>
              <w:t>5.6.4</w:t>
            </w:r>
          </w:p>
          <w:p w:rsidR="003A31B2" w:rsidRDefault="003A31B2" w:rsidP="003A31B2">
            <w:pPr>
              <w:pStyle w:val="Default"/>
            </w:pPr>
          </w:p>
          <w:p w:rsidR="003A31B2" w:rsidRPr="00F26EA0" w:rsidRDefault="003A31B2" w:rsidP="003A31B2">
            <w:pPr>
              <w:pStyle w:val="NoSpacing"/>
              <w:rPr>
                <w:sz w:val="24"/>
              </w:rPr>
            </w:pPr>
            <w:r>
              <w:t>Existence, relatedness, and development are the</w:t>
            </w:r>
          </w:p>
        </w:tc>
        <w:tc>
          <w:tcPr>
            <w:tcW w:w="4172" w:type="dxa"/>
          </w:tcPr>
          <w:p w:rsidR="00F6604E" w:rsidRDefault="00B30137" w:rsidP="00F6604E">
            <w:pPr>
              <w:pStyle w:val="NoSpacing"/>
              <w:rPr>
                <w:sz w:val="24"/>
              </w:rPr>
            </w:pPr>
            <w:r>
              <w:rPr>
                <w:sz w:val="24"/>
              </w:rPr>
              <w:t>5.6.4</w:t>
            </w:r>
          </w:p>
          <w:p w:rsidR="00B30137" w:rsidRDefault="00B30137" w:rsidP="00B30137">
            <w:pPr>
              <w:pStyle w:val="Default"/>
            </w:pPr>
          </w:p>
          <w:p w:rsidR="00B30137" w:rsidRPr="00F26EA0" w:rsidRDefault="00B30137" w:rsidP="00B30137">
            <w:pPr>
              <w:pStyle w:val="NoSpacing"/>
              <w:rPr>
                <w:sz w:val="24"/>
              </w:rPr>
            </w:pPr>
            <w:r>
              <w:t xml:space="preserve">Existence, relatedness, and </w:t>
            </w:r>
            <w:r w:rsidRPr="00B30137">
              <w:rPr>
                <w:color w:val="FF0000"/>
              </w:rPr>
              <w:t>growth</w:t>
            </w:r>
            <w:r>
              <w:t xml:space="preserve"> are the</w:t>
            </w:r>
          </w:p>
        </w:tc>
      </w:tr>
      <w:tr w:rsidR="00F6604E" w:rsidTr="004E23A1">
        <w:tc>
          <w:tcPr>
            <w:tcW w:w="745" w:type="dxa"/>
          </w:tcPr>
          <w:p w:rsidR="00F6604E" w:rsidRPr="00F26EA0" w:rsidRDefault="008F4EED" w:rsidP="003B2694">
            <w:pPr>
              <w:pStyle w:val="NoSpacing"/>
              <w:rPr>
                <w:sz w:val="24"/>
              </w:rPr>
            </w:pPr>
            <w:r>
              <w:rPr>
                <w:sz w:val="24"/>
              </w:rPr>
              <w:t>2</w:t>
            </w:r>
          </w:p>
        </w:tc>
        <w:tc>
          <w:tcPr>
            <w:tcW w:w="847" w:type="dxa"/>
          </w:tcPr>
          <w:p w:rsidR="00F6604E" w:rsidRPr="00F26EA0" w:rsidRDefault="00B30137" w:rsidP="003B2694">
            <w:pPr>
              <w:pStyle w:val="NoSpacing"/>
              <w:rPr>
                <w:sz w:val="24"/>
              </w:rPr>
            </w:pPr>
            <w:r>
              <w:rPr>
                <w:sz w:val="24"/>
              </w:rPr>
              <w:t>180</w:t>
            </w:r>
          </w:p>
        </w:tc>
        <w:tc>
          <w:tcPr>
            <w:tcW w:w="4765" w:type="dxa"/>
          </w:tcPr>
          <w:p w:rsidR="00B30137" w:rsidRPr="00B30137" w:rsidRDefault="00B30137" w:rsidP="00B30137">
            <w:pPr>
              <w:pStyle w:val="NoSpacing"/>
              <w:rPr>
                <w:sz w:val="24"/>
              </w:rPr>
            </w:pPr>
            <w:r>
              <w:rPr>
                <w:sz w:val="24"/>
              </w:rPr>
              <w:t>8.4</w:t>
            </w:r>
          </w:p>
          <w:p w:rsidR="00B30137" w:rsidRPr="00F26EA0" w:rsidRDefault="00B30137" w:rsidP="00B30137">
            <w:pPr>
              <w:pStyle w:val="NoSpacing"/>
              <w:rPr>
                <w:sz w:val="24"/>
              </w:rPr>
            </w:pPr>
            <w:r w:rsidRPr="00B30137">
              <w:rPr>
                <w:sz w:val="24"/>
              </w:rPr>
              <w:t>Consider the example of a wholesaler, who has got very low fixed costs but low contribution (difference between sales price and purchase price).</w:t>
            </w:r>
          </w:p>
        </w:tc>
        <w:tc>
          <w:tcPr>
            <w:tcW w:w="4172" w:type="dxa"/>
          </w:tcPr>
          <w:p w:rsidR="00B30137" w:rsidRPr="00B30137" w:rsidRDefault="00B30137" w:rsidP="00B30137">
            <w:pPr>
              <w:pStyle w:val="NoSpacing"/>
              <w:rPr>
                <w:sz w:val="24"/>
              </w:rPr>
            </w:pPr>
            <w:r>
              <w:rPr>
                <w:sz w:val="24"/>
              </w:rPr>
              <w:t>8.4</w:t>
            </w:r>
          </w:p>
          <w:p w:rsidR="00B30137" w:rsidRPr="00F26EA0" w:rsidRDefault="00B30137" w:rsidP="00B30137">
            <w:pPr>
              <w:pStyle w:val="NoSpacing"/>
              <w:rPr>
                <w:sz w:val="24"/>
              </w:rPr>
            </w:pPr>
            <w:r w:rsidRPr="00B30137">
              <w:rPr>
                <w:sz w:val="24"/>
              </w:rPr>
              <w:t xml:space="preserve">Consider the example of a wholesaler, who has got very low fixed costs but low contribution (difference between sales price and </w:t>
            </w:r>
            <w:r w:rsidRPr="00B30137">
              <w:rPr>
                <w:color w:val="FF0000"/>
                <w:sz w:val="24"/>
              </w:rPr>
              <w:t>variable cost</w:t>
            </w:r>
            <w:r w:rsidRPr="00B30137">
              <w:rPr>
                <w:sz w:val="24"/>
              </w:rPr>
              <w:t>).</w:t>
            </w:r>
          </w:p>
        </w:tc>
      </w:tr>
      <w:tr w:rsidR="00F6604E" w:rsidTr="004E23A1">
        <w:tc>
          <w:tcPr>
            <w:tcW w:w="745" w:type="dxa"/>
          </w:tcPr>
          <w:p w:rsidR="00F6604E" w:rsidRPr="00F26EA0" w:rsidRDefault="008F4EED" w:rsidP="003B2694">
            <w:pPr>
              <w:pStyle w:val="NoSpacing"/>
              <w:rPr>
                <w:sz w:val="24"/>
              </w:rPr>
            </w:pPr>
            <w:r>
              <w:rPr>
                <w:sz w:val="24"/>
              </w:rPr>
              <w:t>3</w:t>
            </w:r>
          </w:p>
        </w:tc>
        <w:tc>
          <w:tcPr>
            <w:tcW w:w="847" w:type="dxa"/>
          </w:tcPr>
          <w:p w:rsidR="00F6604E" w:rsidRPr="00F26EA0" w:rsidRDefault="00B30137" w:rsidP="003B2694">
            <w:pPr>
              <w:pStyle w:val="NoSpacing"/>
              <w:rPr>
                <w:sz w:val="24"/>
              </w:rPr>
            </w:pPr>
            <w:r>
              <w:rPr>
                <w:sz w:val="24"/>
              </w:rPr>
              <w:t>181</w:t>
            </w:r>
          </w:p>
        </w:tc>
        <w:tc>
          <w:tcPr>
            <w:tcW w:w="4765" w:type="dxa"/>
          </w:tcPr>
          <w:p w:rsidR="00B30137" w:rsidRPr="00B30137" w:rsidRDefault="00B30137" w:rsidP="00B30137">
            <w:pPr>
              <w:pStyle w:val="NoSpacing"/>
              <w:rPr>
                <w:sz w:val="24"/>
              </w:rPr>
            </w:pPr>
            <w:r>
              <w:rPr>
                <w:sz w:val="24"/>
              </w:rPr>
              <w:t>8.5</w:t>
            </w:r>
          </w:p>
          <w:p w:rsidR="00B30137" w:rsidRPr="00B30137" w:rsidRDefault="00B30137" w:rsidP="00B30137">
            <w:pPr>
              <w:pStyle w:val="NoSpacing"/>
              <w:rPr>
                <w:sz w:val="24"/>
              </w:rPr>
            </w:pPr>
            <w:r w:rsidRPr="00B30137">
              <w:rPr>
                <w:sz w:val="24"/>
              </w:rPr>
              <w:t xml:space="preserve">This formula can be further refined in the light of the fact EBIT = Sales quantity (Price per unit- variable cost per unit) – Fixed costs and, therefore, Δ EBIT = Δ Sales quantity (Price per unit- variable cost per unit) as the Fixed cost is a constant amount. </w:t>
            </w:r>
          </w:p>
          <w:p w:rsidR="00B30137" w:rsidRPr="00B30137" w:rsidRDefault="00B30137" w:rsidP="00B30137">
            <w:pPr>
              <w:pStyle w:val="NoSpacing"/>
              <w:rPr>
                <w:sz w:val="24"/>
              </w:rPr>
            </w:pPr>
            <w:r w:rsidRPr="00B30137">
              <w:rPr>
                <w:sz w:val="24"/>
              </w:rPr>
              <w:t xml:space="preserve">The rewritten formula will be: </w:t>
            </w:r>
          </w:p>
          <w:p w:rsidR="00B30137" w:rsidRPr="00F26EA0" w:rsidRDefault="00B30137" w:rsidP="00B30137">
            <w:pPr>
              <w:pStyle w:val="NoSpacing"/>
              <w:rPr>
                <w:sz w:val="24"/>
              </w:rPr>
            </w:pPr>
            <w:r w:rsidRPr="00B30137">
              <w:rPr>
                <w:sz w:val="24"/>
              </w:rPr>
              <w:t xml:space="preserve">DOL = Sales quantity (Price per unit-variable cost per unit) </w:t>
            </w:r>
            <w:r>
              <w:rPr>
                <w:sz w:val="24"/>
              </w:rPr>
              <w:t xml:space="preserve">/ </w:t>
            </w:r>
            <w:r w:rsidRPr="00B30137">
              <w:rPr>
                <w:sz w:val="24"/>
              </w:rPr>
              <w:t>ΕΒIT</w:t>
            </w:r>
          </w:p>
        </w:tc>
        <w:tc>
          <w:tcPr>
            <w:tcW w:w="4172" w:type="dxa"/>
          </w:tcPr>
          <w:p w:rsidR="00B30137" w:rsidRPr="00B30137" w:rsidRDefault="00B30137" w:rsidP="00B30137">
            <w:pPr>
              <w:pStyle w:val="NoSpacing"/>
              <w:rPr>
                <w:sz w:val="24"/>
              </w:rPr>
            </w:pPr>
            <w:r>
              <w:rPr>
                <w:sz w:val="24"/>
              </w:rPr>
              <w:t>8.5</w:t>
            </w:r>
          </w:p>
          <w:p w:rsidR="00B30137" w:rsidRPr="00B30137" w:rsidRDefault="00B30137" w:rsidP="00B30137">
            <w:pPr>
              <w:pStyle w:val="NoSpacing"/>
              <w:rPr>
                <w:sz w:val="24"/>
              </w:rPr>
            </w:pPr>
            <w:r w:rsidRPr="00B30137">
              <w:rPr>
                <w:sz w:val="24"/>
              </w:rPr>
              <w:t>This formula can be further refined in the light of the fact EBIT = Sales quantity (</w:t>
            </w:r>
            <w:r w:rsidRPr="00B30137">
              <w:rPr>
                <w:color w:val="FF0000"/>
                <w:sz w:val="24"/>
              </w:rPr>
              <w:t>Sale</w:t>
            </w:r>
            <w:r>
              <w:rPr>
                <w:sz w:val="24"/>
              </w:rPr>
              <w:t xml:space="preserve"> </w:t>
            </w:r>
            <w:r w:rsidRPr="00B30137">
              <w:rPr>
                <w:sz w:val="24"/>
              </w:rPr>
              <w:t>Price per unit- variable cost per unit) – Fixed costs and, therefore, Δ EBIT = Δ Sales quantity (</w:t>
            </w:r>
            <w:r w:rsidRPr="00B30137">
              <w:rPr>
                <w:color w:val="FF0000"/>
                <w:sz w:val="24"/>
              </w:rPr>
              <w:t>Sale</w:t>
            </w:r>
            <w:r>
              <w:rPr>
                <w:sz w:val="24"/>
              </w:rPr>
              <w:t xml:space="preserve"> </w:t>
            </w:r>
            <w:r w:rsidRPr="00B30137">
              <w:rPr>
                <w:sz w:val="24"/>
              </w:rPr>
              <w:t xml:space="preserve">Price per unit- variable cost per unit) as the Fixed cost is a constant amount. </w:t>
            </w:r>
          </w:p>
          <w:p w:rsidR="00B30137" w:rsidRPr="00B30137" w:rsidRDefault="00B30137" w:rsidP="00B30137">
            <w:pPr>
              <w:pStyle w:val="NoSpacing"/>
              <w:rPr>
                <w:sz w:val="24"/>
              </w:rPr>
            </w:pPr>
            <w:r w:rsidRPr="00B30137">
              <w:rPr>
                <w:sz w:val="24"/>
              </w:rPr>
              <w:t xml:space="preserve">The rewritten formula will be: </w:t>
            </w:r>
          </w:p>
          <w:p w:rsidR="00B30137" w:rsidRPr="00F26EA0" w:rsidRDefault="00B30137" w:rsidP="00B30137">
            <w:pPr>
              <w:pStyle w:val="NoSpacing"/>
              <w:rPr>
                <w:sz w:val="24"/>
              </w:rPr>
            </w:pPr>
            <w:r w:rsidRPr="00B30137">
              <w:rPr>
                <w:sz w:val="24"/>
              </w:rPr>
              <w:t>DOL = Sales quantity (</w:t>
            </w:r>
            <w:r w:rsidRPr="00B30137">
              <w:rPr>
                <w:color w:val="FF0000"/>
                <w:sz w:val="24"/>
              </w:rPr>
              <w:t>Sale</w:t>
            </w:r>
            <w:r>
              <w:rPr>
                <w:sz w:val="24"/>
              </w:rPr>
              <w:t xml:space="preserve"> </w:t>
            </w:r>
            <w:r w:rsidRPr="00B30137">
              <w:rPr>
                <w:sz w:val="24"/>
              </w:rPr>
              <w:t xml:space="preserve">Price per unit-variable cost per unit) </w:t>
            </w:r>
            <w:r>
              <w:rPr>
                <w:sz w:val="24"/>
              </w:rPr>
              <w:t xml:space="preserve">/ </w:t>
            </w:r>
            <w:r w:rsidRPr="00B30137">
              <w:rPr>
                <w:sz w:val="24"/>
              </w:rPr>
              <w:t>ΕΒIT</w:t>
            </w:r>
          </w:p>
        </w:tc>
      </w:tr>
      <w:tr w:rsidR="003B2694" w:rsidTr="004E23A1">
        <w:tc>
          <w:tcPr>
            <w:tcW w:w="745" w:type="dxa"/>
          </w:tcPr>
          <w:p w:rsidR="003B2694" w:rsidRPr="00F26EA0" w:rsidRDefault="008F4EED" w:rsidP="003B2694">
            <w:pPr>
              <w:pStyle w:val="NoSpacing"/>
              <w:rPr>
                <w:sz w:val="24"/>
              </w:rPr>
            </w:pPr>
            <w:r>
              <w:rPr>
                <w:sz w:val="24"/>
              </w:rPr>
              <w:t>4</w:t>
            </w:r>
          </w:p>
        </w:tc>
        <w:tc>
          <w:tcPr>
            <w:tcW w:w="847" w:type="dxa"/>
          </w:tcPr>
          <w:p w:rsidR="003B2694" w:rsidRPr="00F26EA0" w:rsidRDefault="00B30137" w:rsidP="003B2694">
            <w:pPr>
              <w:pStyle w:val="NoSpacing"/>
              <w:rPr>
                <w:sz w:val="24"/>
              </w:rPr>
            </w:pPr>
            <w:r>
              <w:rPr>
                <w:sz w:val="24"/>
              </w:rPr>
              <w:t>366</w:t>
            </w:r>
          </w:p>
        </w:tc>
        <w:tc>
          <w:tcPr>
            <w:tcW w:w="4765" w:type="dxa"/>
          </w:tcPr>
          <w:p w:rsidR="003B2694" w:rsidRPr="00F26EA0" w:rsidRDefault="00B30137" w:rsidP="00B30137">
            <w:pPr>
              <w:pStyle w:val="NoSpacing"/>
              <w:rPr>
                <w:sz w:val="24"/>
              </w:rPr>
            </w:pPr>
            <w:r w:rsidRPr="00B30137">
              <w:rPr>
                <w:sz w:val="24"/>
              </w:rPr>
              <w:t>Special reorganisation procedures include the “Reconstruction” of sick industrial companies as envisioned by the Sick Industries (Special Provisions) Act, 1985</w:t>
            </w:r>
          </w:p>
        </w:tc>
        <w:tc>
          <w:tcPr>
            <w:tcW w:w="4172" w:type="dxa"/>
          </w:tcPr>
          <w:p w:rsidR="003B2694" w:rsidRPr="00F26EA0" w:rsidRDefault="00B30137" w:rsidP="00B30137">
            <w:pPr>
              <w:pStyle w:val="NoSpacing"/>
              <w:rPr>
                <w:sz w:val="24"/>
              </w:rPr>
            </w:pPr>
            <w:r w:rsidRPr="00B30137">
              <w:rPr>
                <w:sz w:val="24"/>
              </w:rPr>
              <w:t xml:space="preserve">Special reorganisation procedures include the “Reconstruction” of sick industrial companies as envisioned by the </w:t>
            </w:r>
            <w:r w:rsidRPr="00B30137">
              <w:rPr>
                <w:color w:val="FF0000"/>
                <w:sz w:val="24"/>
              </w:rPr>
              <w:t>Sick Industrial Companies (Special Provisions) Repeal Act, 2003</w:t>
            </w:r>
          </w:p>
        </w:tc>
      </w:tr>
      <w:tr w:rsidR="008F4EED" w:rsidTr="004E23A1">
        <w:tc>
          <w:tcPr>
            <w:tcW w:w="745" w:type="dxa"/>
          </w:tcPr>
          <w:p w:rsidR="008F4EED" w:rsidRPr="00F26EA0" w:rsidRDefault="008F4EED" w:rsidP="003B2694">
            <w:pPr>
              <w:pStyle w:val="NoSpacing"/>
              <w:rPr>
                <w:sz w:val="24"/>
              </w:rPr>
            </w:pPr>
          </w:p>
        </w:tc>
        <w:tc>
          <w:tcPr>
            <w:tcW w:w="847" w:type="dxa"/>
          </w:tcPr>
          <w:p w:rsidR="008F4EED" w:rsidRPr="00F26EA0" w:rsidRDefault="008F4EED" w:rsidP="003B2694">
            <w:pPr>
              <w:pStyle w:val="NoSpacing"/>
              <w:rPr>
                <w:sz w:val="24"/>
              </w:rPr>
            </w:pPr>
          </w:p>
        </w:tc>
        <w:tc>
          <w:tcPr>
            <w:tcW w:w="4765" w:type="dxa"/>
          </w:tcPr>
          <w:p w:rsidR="008F4EED" w:rsidRPr="00F26EA0" w:rsidRDefault="008F4EED" w:rsidP="003B2694">
            <w:pPr>
              <w:pStyle w:val="NoSpacing"/>
              <w:rPr>
                <w:sz w:val="24"/>
              </w:rPr>
            </w:pPr>
          </w:p>
        </w:tc>
        <w:tc>
          <w:tcPr>
            <w:tcW w:w="4172" w:type="dxa"/>
          </w:tcPr>
          <w:p w:rsidR="008F4EED" w:rsidRPr="00F26EA0" w:rsidRDefault="008F4EED" w:rsidP="003B2694">
            <w:pPr>
              <w:pStyle w:val="NoSpacing"/>
              <w:rPr>
                <w:sz w:val="24"/>
              </w:rPr>
            </w:pPr>
          </w:p>
        </w:tc>
      </w:tr>
      <w:tr w:rsidR="008F4EED" w:rsidTr="004E23A1">
        <w:tc>
          <w:tcPr>
            <w:tcW w:w="745" w:type="dxa"/>
          </w:tcPr>
          <w:p w:rsidR="008F4EED" w:rsidRPr="00F26EA0" w:rsidRDefault="008F4EED" w:rsidP="003B2694">
            <w:pPr>
              <w:pStyle w:val="NoSpacing"/>
              <w:rPr>
                <w:sz w:val="24"/>
              </w:rPr>
            </w:pPr>
          </w:p>
        </w:tc>
        <w:tc>
          <w:tcPr>
            <w:tcW w:w="847" w:type="dxa"/>
          </w:tcPr>
          <w:p w:rsidR="008F4EED" w:rsidRPr="00F26EA0" w:rsidRDefault="008F4EED" w:rsidP="003B2694">
            <w:pPr>
              <w:pStyle w:val="NoSpacing"/>
              <w:rPr>
                <w:sz w:val="24"/>
              </w:rPr>
            </w:pPr>
          </w:p>
        </w:tc>
        <w:tc>
          <w:tcPr>
            <w:tcW w:w="4765" w:type="dxa"/>
          </w:tcPr>
          <w:p w:rsidR="008F4EED" w:rsidRPr="00F26EA0" w:rsidRDefault="008F4EED" w:rsidP="003B2694">
            <w:pPr>
              <w:pStyle w:val="NoSpacing"/>
              <w:rPr>
                <w:sz w:val="24"/>
              </w:rPr>
            </w:pPr>
          </w:p>
        </w:tc>
        <w:tc>
          <w:tcPr>
            <w:tcW w:w="4172" w:type="dxa"/>
          </w:tcPr>
          <w:p w:rsidR="008F4EED" w:rsidRPr="00F26EA0" w:rsidRDefault="008F4EED" w:rsidP="003B2694">
            <w:pPr>
              <w:pStyle w:val="NoSpacing"/>
              <w:rPr>
                <w:sz w:val="24"/>
              </w:rPr>
            </w:pPr>
          </w:p>
        </w:tc>
      </w:tr>
      <w:tr w:rsidR="008F4EED" w:rsidTr="008F4EED">
        <w:tc>
          <w:tcPr>
            <w:tcW w:w="10529" w:type="dxa"/>
            <w:gridSpan w:val="4"/>
          </w:tcPr>
          <w:p w:rsidR="008F4EED" w:rsidRPr="008F4EED" w:rsidRDefault="008F4EED" w:rsidP="008F4EED">
            <w:pPr>
              <w:pStyle w:val="NoSpacing"/>
              <w:jc w:val="center"/>
              <w:rPr>
                <w:b/>
                <w:sz w:val="24"/>
              </w:rPr>
            </w:pPr>
            <w:r w:rsidRPr="008F4EED">
              <w:rPr>
                <w:b/>
                <w:sz w:val="28"/>
              </w:rPr>
              <w:t>Human Resource Management</w:t>
            </w:r>
          </w:p>
        </w:tc>
      </w:tr>
      <w:tr w:rsidR="008F4EED" w:rsidTr="004E23A1">
        <w:tc>
          <w:tcPr>
            <w:tcW w:w="745" w:type="dxa"/>
          </w:tcPr>
          <w:p w:rsidR="008F4EED" w:rsidRPr="00F26EA0" w:rsidRDefault="008F4EED" w:rsidP="003B2694">
            <w:pPr>
              <w:pStyle w:val="NoSpacing"/>
              <w:rPr>
                <w:sz w:val="24"/>
              </w:rPr>
            </w:pPr>
            <w:r>
              <w:rPr>
                <w:sz w:val="24"/>
              </w:rPr>
              <w:t>1</w:t>
            </w:r>
          </w:p>
        </w:tc>
        <w:tc>
          <w:tcPr>
            <w:tcW w:w="847" w:type="dxa"/>
          </w:tcPr>
          <w:p w:rsidR="008F4EED" w:rsidRPr="00F26EA0" w:rsidRDefault="008F4EED" w:rsidP="003B2694">
            <w:pPr>
              <w:pStyle w:val="NoSpacing"/>
              <w:rPr>
                <w:sz w:val="24"/>
              </w:rPr>
            </w:pPr>
            <w:r>
              <w:rPr>
                <w:sz w:val="24"/>
              </w:rPr>
              <w:t>442</w:t>
            </w:r>
          </w:p>
        </w:tc>
        <w:tc>
          <w:tcPr>
            <w:tcW w:w="4765" w:type="dxa"/>
          </w:tcPr>
          <w:p w:rsidR="008F4EED" w:rsidRDefault="008F4EED" w:rsidP="003B2694">
            <w:pPr>
              <w:pStyle w:val="NoSpacing"/>
              <w:rPr>
                <w:sz w:val="24"/>
              </w:rPr>
            </w:pPr>
            <w:r w:rsidRPr="008F4EED">
              <w:rPr>
                <w:sz w:val="24"/>
                <w:highlight w:val="yellow"/>
              </w:rPr>
              <w:t>16.4.8</w:t>
            </w:r>
          </w:p>
          <w:p w:rsidR="008F4EED" w:rsidRPr="00F26EA0" w:rsidRDefault="008F4EED" w:rsidP="003B2694">
            <w:pPr>
              <w:pStyle w:val="NoSpacing"/>
              <w:rPr>
                <w:sz w:val="24"/>
              </w:rPr>
            </w:pPr>
            <w:r>
              <w:rPr>
                <w:sz w:val="24"/>
              </w:rPr>
              <w:t>3</w:t>
            </w:r>
            <w:r w:rsidRPr="008F4EED">
              <w:rPr>
                <w:sz w:val="24"/>
                <w:vertAlign w:val="superscript"/>
              </w:rPr>
              <w:t>rd</w:t>
            </w:r>
            <w:r>
              <w:rPr>
                <w:sz w:val="24"/>
              </w:rPr>
              <w:t xml:space="preserve"> para – However, during the IX… </w:t>
            </w:r>
          </w:p>
        </w:tc>
        <w:tc>
          <w:tcPr>
            <w:tcW w:w="4172" w:type="dxa"/>
          </w:tcPr>
          <w:p w:rsidR="008F4EED" w:rsidRDefault="008F4EED" w:rsidP="008F4EED">
            <w:pPr>
              <w:pStyle w:val="NoSpacing"/>
              <w:rPr>
                <w:sz w:val="24"/>
              </w:rPr>
            </w:pPr>
            <w:r w:rsidRPr="008F4EED">
              <w:rPr>
                <w:sz w:val="24"/>
                <w:highlight w:val="yellow"/>
              </w:rPr>
              <w:t>16.4.8</w:t>
            </w:r>
          </w:p>
          <w:p w:rsidR="008F4EED" w:rsidRPr="00F26EA0" w:rsidRDefault="008F4EED" w:rsidP="008F4EED">
            <w:pPr>
              <w:pStyle w:val="NoSpacing"/>
              <w:rPr>
                <w:sz w:val="24"/>
              </w:rPr>
            </w:pPr>
            <w:r>
              <w:rPr>
                <w:sz w:val="24"/>
              </w:rPr>
              <w:t>3</w:t>
            </w:r>
            <w:r w:rsidRPr="008F4EED">
              <w:rPr>
                <w:sz w:val="24"/>
                <w:vertAlign w:val="superscript"/>
              </w:rPr>
              <w:t>rd</w:t>
            </w:r>
            <w:r>
              <w:rPr>
                <w:sz w:val="24"/>
              </w:rPr>
              <w:t xml:space="preserve"> para – However, during the </w:t>
            </w:r>
            <w:r w:rsidRPr="008F4EED">
              <w:rPr>
                <w:color w:val="FF0000"/>
                <w:sz w:val="24"/>
              </w:rPr>
              <w:t>XI</w:t>
            </w:r>
            <w:r>
              <w:rPr>
                <w:sz w:val="24"/>
              </w:rPr>
              <w:t>…</w:t>
            </w:r>
          </w:p>
        </w:tc>
      </w:tr>
      <w:tr w:rsidR="00B17439" w:rsidTr="004E23A1">
        <w:tc>
          <w:tcPr>
            <w:tcW w:w="745" w:type="dxa"/>
          </w:tcPr>
          <w:p w:rsidR="00B17439" w:rsidRPr="00F26EA0" w:rsidRDefault="00B17439" w:rsidP="003B2694">
            <w:pPr>
              <w:pStyle w:val="NoSpacing"/>
              <w:rPr>
                <w:sz w:val="24"/>
              </w:rPr>
            </w:pPr>
          </w:p>
        </w:tc>
        <w:tc>
          <w:tcPr>
            <w:tcW w:w="847" w:type="dxa"/>
          </w:tcPr>
          <w:p w:rsidR="00B17439" w:rsidRPr="00F26EA0" w:rsidRDefault="00B17439" w:rsidP="003B2694">
            <w:pPr>
              <w:pStyle w:val="NoSpacing"/>
              <w:rPr>
                <w:sz w:val="24"/>
              </w:rPr>
            </w:pPr>
          </w:p>
        </w:tc>
        <w:tc>
          <w:tcPr>
            <w:tcW w:w="4765" w:type="dxa"/>
          </w:tcPr>
          <w:p w:rsidR="00B17439" w:rsidRPr="00F26EA0" w:rsidRDefault="00B17439" w:rsidP="003B2694">
            <w:pPr>
              <w:pStyle w:val="NoSpacing"/>
              <w:rPr>
                <w:sz w:val="24"/>
              </w:rPr>
            </w:pPr>
          </w:p>
        </w:tc>
        <w:tc>
          <w:tcPr>
            <w:tcW w:w="4172" w:type="dxa"/>
          </w:tcPr>
          <w:p w:rsidR="00B17439" w:rsidRPr="00F26EA0" w:rsidRDefault="00B17439" w:rsidP="003B2694">
            <w:pPr>
              <w:pStyle w:val="NoSpacing"/>
              <w:rPr>
                <w:sz w:val="24"/>
              </w:rPr>
            </w:pPr>
          </w:p>
        </w:tc>
      </w:tr>
      <w:tr w:rsidR="00B17439" w:rsidTr="004E23A1">
        <w:tc>
          <w:tcPr>
            <w:tcW w:w="745" w:type="dxa"/>
          </w:tcPr>
          <w:p w:rsidR="00B17439" w:rsidRPr="00F26EA0" w:rsidRDefault="00B17439" w:rsidP="003B2694">
            <w:pPr>
              <w:pStyle w:val="NoSpacing"/>
              <w:rPr>
                <w:sz w:val="24"/>
              </w:rPr>
            </w:pPr>
          </w:p>
        </w:tc>
        <w:tc>
          <w:tcPr>
            <w:tcW w:w="847" w:type="dxa"/>
          </w:tcPr>
          <w:p w:rsidR="00B17439" w:rsidRPr="00F26EA0" w:rsidRDefault="00B17439" w:rsidP="003B2694">
            <w:pPr>
              <w:pStyle w:val="NoSpacing"/>
              <w:rPr>
                <w:sz w:val="24"/>
              </w:rPr>
            </w:pPr>
          </w:p>
        </w:tc>
        <w:tc>
          <w:tcPr>
            <w:tcW w:w="4765" w:type="dxa"/>
          </w:tcPr>
          <w:p w:rsidR="00B17439" w:rsidRPr="00F26EA0" w:rsidRDefault="00B17439" w:rsidP="003B2694">
            <w:pPr>
              <w:pStyle w:val="NoSpacing"/>
              <w:rPr>
                <w:sz w:val="24"/>
              </w:rPr>
            </w:pPr>
          </w:p>
        </w:tc>
        <w:tc>
          <w:tcPr>
            <w:tcW w:w="4172" w:type="dxa"/>
          </w:tcPr>
          <w:p w:rsidR="00B17439" w:rsidRPr="00F26EA0" w:rsidRDefault="00B17439" w:rsidP="003B2694">
            <w:pPr>
              <w:pStyle w:val="NoSpacing"/>
              <w:rPr>
                <w:sz w:val="24"/>
              </w:rPr>
            </w:pPr>
          </w:p>
        </w:tc>
      </w:tr>
      <w:tr w:rsidR="00B17439" w:rsidTr="00E47A12">
        <w:tc>
          <w:tcPr>
            <w:tcW w:w="10529" w:type="dxa"/>
            <w:gridSpan w:val="4"/>
          </w:tcPr>
          <w:p w:rsidR="00B17439" w:rsidRPr="00F26EA0" w:rsidRDefault="00B17439" w:rsidP="00B17439">
            <w:pPr>
              <w:pStyle w:val="NoSpacing"/>
              <w:jc w:val="center"/>
              <w:rPr>
                <w:sz w:val="24"/>
              </w:rPr>
            </w:pPr>
            <w:r w:rsidRPr="00B17439">
              <w:rPr>
                <w:b/>
                <w:sz w:val="28"/>
              </w:rPr>
              <w:t>Information Technology</w:t>
            </w:r>
            <w:r>
              <w:rPr>
                <w:b/>
                <w:sz w:val="28"/>
              </w:rPr>
              <w:t xml:space="preserve"> &amp; Digital Banking</w:t>
            </w:r>
          </w:p>
        </w:tc>
      </w:tr>
      <w:tr w:rsidR="00B17439" w:rsidTr="004E23A1">
        <w:tc>
          <w:tcPr>
            <w:tcW w:w="745" w:type="dxa"/>
          </w:tcPr>
          <w:p w:rsidR="00B17439" w:rsidRPr="00F26EA0" w:rsidRDefault="00B17439" w:rsidP="003B2694">
            <w:pPr>
              <w:pStyle w:val="NoSpacing"/>
              <w:rPr>
                <w:sz w:val="24"/>
              </w:rPr>
            </w:pPr>
            <w:r>
              <w:rPr>
                <w:sz w:val="24"/>
              </w:rPr>
              <w:t>1</w:t>
            </w:r>
          </w:p>
        </w:tc>
        <w:tc>
          <w:tcPr>
            <w:tcW w:w="847" w:type="dxa"/>
          </w:tcPr>
          <w:p w:rsidR="00B17439" w:rsidRPr="00F26EA0" w:rsidRDefault="00B17439" w:rsidP="003B2694">
            <w:pPr>
              <w:pStyle w:val="NoSpacing"/>
              <w:rPr>
                <w:sz w:val="24"/>
              </w:rPr>
            </w:pPr>
            <w:r>
              <w:rPr>
                <w:sz w:val="24"/>
              </w:rPr>
              <w:t>283</w:t>
            </w:r>
          </w:p>
        </w:tc>
        <w:tc>
          <w:tcPr>
            <w:tcW w:w="4765" w:type="dxa"/>
          </w:tcPr>
          <w:p w:rsidR="00B17439" w:rsidRDefault="00B17439" w:rsidP="00B17439">
            <w:pPr>
              <w:pStyle w:val="NormalWeb"/>
            </w:pPr>
            <w:r w:rsidRPr="00B17439">
              <w:rPr>
                <w:color w:val="000000"/>
                <w:highlight w:val="yellow"/>
              </w:rPr>
              <w:t>13.</w:t>
            </w:r>
            <w:r w:rsidRPr="00B17439">
              <w:rPr>
                <w:i/>
                <w:iCs/>
                <w:highlight w:val="yellow"/>
              </w:rPr>
              <w:t xml:space="preserve"> </w:t>
            </w:r>
            <w:r w:rsidRPr="00B17439">
              <w:rPr>
                <w:i/>
                <w:iCs/>
                <w:color w:val="000000"/>
                <w:highlight w:val="yellow"/>
              </w:rPr>
              <w:t>Power to investigate offenses</w:t>
            </w:r>
            <w:r>
              <w:rPr>
                <w:i/>
                <w:iCs/>
                <w:color w:val="000000"/>
              </w:rPr>
              <w:t>:</w:t>
            </w:r>
            <w:r>
              <w:t xml:space="preserve"> </w:t>
            </w:r>
            <w:r>
              <w:rPr>
                <w:color w:val="000000"/>
              </w:rPr>
              <w:t xml:space="preserve">The act gives the power to the Government to Investigate offences. Notwithstanding anything contained in the Code of Criminal Procedure, 1973, a police officer not below the rank of </w:t>
            </w:r>
            <w:r>
              <w:rPr>
                <w:color w:val="000000"/>
              </w:rPr>
              <w:lastRenderedPageBreak/>
              <w:t>Deputy Superintendent of Police</w:t>
            </w:r>
            <w:r>
              <w:rPr>
                <w:color w:val="000000"/>
              </w:rPr>
              <w:t xml:space="preserve"> </w:t>
            </w:r>
            <w:r>
              <w:rPr>
                <w:color w:val="000000"/>
              </w:rPr>
              <w:t>shall investigate any offence under this Act.</w:t>
            </w:r>
          </w:p>
          <w:p w:rsidR="00B17439" w:rsidRPr="00F26EA0" w:rsidRDefault="00B17439" w:rsidP="003B2694">
            <w:pPr>
              <w:pStyle w:val="NoSpacing"/>
              <w:rPr>
                <w:sz w:val="24"/>
              </w:rPr>
            </w:pPr>
          </w:p>
        </w:tc>
        <w:tc>
          <w:tcPr>
            <w:tcW w:w="4172" w:type="dxa"/>
          </w:tcPr>
          <w:p w:rsidR="00B17439" w:rsidRDefault="00B17439" w:rsidP="00B17439">
            <w:pPr>
              <w:pStyle w:val="NormalWeb"/>
            </w:pPr>
            <w:r w:rsidRPr="00B17439">
              <w:rPr>
                <w:color w:val="000000"/>
                <w:highlight w:val="yellow"/>
              </w:rPr>
              <w:lastRenderedPageBreak/>
              <w:t>13.</w:t>
            </w:r>
            <w:r w:rsidRPr="00B17439">
              <w:rPr>
                <w:i/>
                <w:iCs/>
                <w:highlight w:val="yellow"/>
              </w:rPr>
              <w:t xml:space="preserve"> </w:t>
            </w:r>
            <w:r w:rsidRPr="00B17439">
              <w:rPr>
                <w:i/>
                <w:iCs/>
                <w:color w:val="000000"/>
                <w:highlight w:val="yellow"/>
              </w:rPr>
              <w:t>Power to investigate offenses</w:t>
            </w:r>
            <w:r>
              <w:rPr>
                <w:i/>
                <w:iCs/>
                <w:color w:val="000000"/>
              </w:rPr>
              <w:t>:</w:t>
            </w:r>
            <w:r>
              <w:t xml:space="preserve"> </w:t>
            </w:r>
            <w:r>
              <w:rPr>
                <w:color w:val="000000"/>
              </w:rPr>
              <w:t xml:space="preserve">The act gives the power to the Government to Investigate offences. Notwithstanding anything contained in the Code of Criminal Procedure, 1973, a police </w:t>
            </w:r>
            <w:r>
              <w:rPr>
                <w:color w:val="000000"/>
              </w:rPr>
              <w:lastRenderedPageBreak/>
              <w:t>officer not below the rank of</w:t>
            </w:r>
            <w:r>
              <w:rPr>
                <w:color w:val="000000"/>
              </w:rPr>
              <w:t xml:space="preserve"> </w:t>
            </w:r>
            <w:r w:rsidRPr="00B17439">
              <w:rPr>
                <w:color w:val="FF0000"/>
              </w:rPr>
              <w:t>Inspector</w:t>
            </w:r>
            <w:r>
              <w:rPr>
                <w:color w:val="000000"/>
              </w:rPr>
              <w:t> shall investigate any offence under this Act.</w:t>
            </w:r>
            <w:bookmarkStart w:id="0" w:name="_GoBack"/>
            <w:bookmarkEnd w:id="0"/>
          </w:p>
          <w:p w:rsidR="00B17439" w:rsidRPr="00F26EA0" w:rsidRDefault="00B17439" w:rsidP="003B2694">
            <w:pPr>
              <w:pStyle w:val="NoSpacing"/>
              <w:rPr>
                <w:sz w:val="24"/>
              </w:rPr>
            </w:pPr>
          </w:p>
        </w:tc>
      </w:tr>
      <w:tr w:rsidR="008F4EED" w:rsidTr="004E23A1">
        <w:tc>
          <w:tcPr>
            <w:tcW w:w="745" w:type="dxa"/>
          </w:tcPr>
          <w:p w:rsidR="008F4EED" w:rsidRPr="00F26EA0" w:rsidRDefault="008F4EED" w:rsidP="003B2694">
            <w:pPr>
              <w:pStyle w:val="NoSpacing"/>
              <w:rPr>
                <w:sz w:val="24"/>
              </w:rPr>
            </w:pPr>
          </w:p>
        </w:tc>
        <w:tc>
          <w:tcPr>
            <w:tcW w:w="847" w:type="dxa"/>
          </w:tcPr>
          <w:p w:rsidR="008F4EED" w:rsidRPr="00F26EA0" w:rsidRDefault="008F4EED" w:rsidP="003B2694">
            <w:pPr>
              <w:pStyle w:val="NoSpacing"/>
              <w:rPr>
                <w:sz w:val="24"/>
              </w:rPr>
            </w:pPr>
          </w:p>
        </w:tc>
        <w:tc>
          <w:tcPr>
            <w:tcW w:w="4765" w:type="dxa"/>
          </w:tcPr>
          <w:p w:rsidR="008F4EED" w:rsidRPr="00F26EA0" w:rsidRDefault="008F4EED" w:rsidP="003B2694">
            <w:pPr>
              <w:pStyle w:val="NoSpacing"/>
              <w:rPr>
                <w:sz w:val="24"/>
              </w:rPr>
            </w:pPr>
          </w:p>
        </w:tc>
        <w:tc>
          <w:tcPr>
            <w:tcW w:w="4172" w:type="dxa"/>
          </w:tcPr>
          <w:p w:rsidR="008F4EED" w:rsidRPr="00F26EA0" w:rsidRDefault="008F4EED" w:rsidP="003B2694">
            <w:pPr>
              <w:pStyle w:val="NoSpacing"/>
              <w:rPr>
                <w:sz w:val="24"/>
              </w:rPr>
            </w:pPr>
          </w:p>
        </w:tc>
      </w:tr>
      <w:tr w:rsidR="008F4EED" w:rsidTr="004E23A1">
        <w:tc>
          <w:tcPr>
            <w:tcW w:w="745" w:type="dxa"/>
          </w:tcPr>
          <w:p w:rsidR="008F4EED" w:rsidRPr="00F26EA0" w:rsidRDefault="008F4EED" w:rsidP="003B2694">
            <w:pPr>
              <w:pStyle w:val="NoSpacing"/>
              <w:rPr>
                <w:sz w:val="24"/>
              </w:rPr>
            </w:pPr>
          </w:p>
        </w:tc>
        <w:tc>
          <w:tcPr>
            <w:tcW w:w="847" w:type="dxa"/>
          </w:tcPr>
          <w:p w:rsidR="008F4EED" w:rsidRPr="00F26EA0" w:rsidRDefault="008F4EED" w:rsidP="003B2694">
            <w:pPr>
              <w:pStyle w:val="NoSpacing"/>
              <w:rPr>
                <w:sz w:val="24"/>
              </w:rPr>
            </w:pPr>
          </w:p>
        </w:tc>
        <w:tc>
          <w:tcPr>
            <w:tcW w:w="4765" w:type="dxa"/>
          </w:tcPr>
          <w:p w:rsidR="008F4EED" w:rsidRPr="00F26EA0" w:rsidRDefault="008F4EED" w:rsidP="003B2694">
            <w:pPr>
              <w:pStyle w:val="NoSpacing"/>
              <w:rPr>
                <w:sz w:val="24"/>
              </w:rPr>
            </w:pPr>
          </w:p>
        </w:tc>
        <w:tc>
          <w:tcPr>
            <w:tcW w:w="4172" w:type="dxa"/>
          </w:tcPr>
          <w:p w:rsidR="008F4EED" w:rsidRPr="00F26EA0" w:rsidRDefault="008F4EED" w:rsidP="003B2694">
            <w:pPr>
              <w:pStyle w:val="NoSpacing"/>
              <w:rPr>
                <w:sz w:val="24"/>
              </w:rPr>
            </w:pPr>
          </w:p>
        </w:tc>
      </w:tr>
      <w:tr w:rsidR="007946EE" w:rsidTr="004E23A1">
        <w:tc>
          <w:tcPr>
            <w:tcW w:w="10529" w:type="dxa"/>
            <w:gridSpan w:val="4"/>
          </w:tcPr>
          <w:p w:rsidR="007946EE" w:rsidRPr="007946EE" w:rsidRDefault="007946EE" w:rsidP="007946EE">
            <w:pPr>
              <w:pStyle w:val="NoSpacing"/>
              <w:jc w:val="center"/>
              <w:rPr>
                <w:b/>
                <w:sz w:val="24"/>
              </w:rPr>
            </w:pPr>
            <w:r w:rsidRPr="007946EE">
              <w:rPr>
                <w:b/>
                <w:sz w:val="28"/>
              </w:rPr>
              <w:t>Risk Management</w:t>
            </w:r>
          </w:p>
        </w:tc>
      </w:tr>
      <w:tr w:rsidR="009F0882" w:rsidTr="004E23A1">
        <w:tc>
          <w:tcPr>
            <w:tcW w:w="745" w:type="dxa"/>
          </w:tcPr>
          <w:p w:rsidR="009F0882" w:rsidRPr="00F26EA0" w:rsidRDefault="009F0882" w:rsidP="003B2694">
            <w:pPr>
              <w:pStyle w:val="NoSpacing"/>
              <w:rPr>
                <w:sz w:val="24"/>
              </w:rPr>
            </w:pPr>
            <w:r>
              <w:rPr>
                <w:sz w:val="24"/>
              </w:rPr>
              <w:t>1</w:t>
            </w:r>
          </w:p>
        </w:tc>
        <w:tc>
          <w:tcPr>
            <w:tcW w:w="847" w:type="dxa"/>
          </w:tcPr>
          <w:p w:rsidR="009F0882" w:rsidRPr="00F26EA0" w:rsidRDefault="00E2702C" w:rsidP="003B2694">
            <w:pPr>
              <w:pStyle w:val="NoSpacing"/>
              <w:rPr>
                <w:sz w:val="24"/>
              </w:rPr>
            </w:pPr>
            <w:r>
              <w:rPr>
                <w:sz w:val="24"/>
              </w:rPr>
              <w:t>36</w:t>
            </w:r>
          </w:p>
        </w:tc>
        <w:tc>
          <w:tcPr>
            <w:tcW w:w="4765" w:type="dxa"/>
          </w:tcPr>
          <w:p w:rsidR="009F0882" w:rsidRPr="00F26EA0" w:rsidRDefault="00E2702C" w:rsidP="003B2694">
            <w:pPr>
              <w:pStyle w:val="NoSpacing"/>
              <w:rPr>
                <w:sz w:val="24"/>
              </w:rPr>
            </w:pPr>
            <w:r w:rsidRPr="00775645">
              <w:rPr>
                <w:sz w:val="24"/>
                <w:highlight w:val="yellow"/>
              </w:rPr>
              <w:t>2.11.2.1.1</w:t>
            </w:r>
            <w:r w:rsidR="00775645">
              <w:rPr>
                <w:sz w:val="24"/>
              </w:rPr>
              <w:t xml:space="preserve"> – Gap risk describes the risk arising from the timing of instrument rate changes. </w:t>
            </w:r>
          </w:p>
        </w:tc>
        <w:tc>
          <w:tcPr>
            <w:tcW w:w="4172" w:type="dxa"/>
          </w:tcPr>
          <w:p w:rsidR="009F0882" w:rsidRPr="00F26EA0" w:rsidRDefault="00775645" w:rsidP="00775645">
            <w:pPr>
              <w:pStyle w:val="NoSpacing"/>
              <w:rPr>
                <w:sz w:val="24"/>
              </w:rPr>
            </w:pPr>
            <w:r w:rsidRPr="00775645">
              <w:rPr>
                <w:sz w:val="24"/>
                <w:highlight w:val="yellow"/>
              </w:rPr>
              <w:t>2.11.2.1.1</w:t>
            </w:r>
            <w:r>
              <w:rPr>
                <w:sz w:val="24"/>
              </w:rPr>
              <w:t xml:space="preserve"> - </w:t>
            </w:r>
            <w:r w:rsidRPr="008F4EED">
              <w:rPr>
                <w:color w:val="FF0000"/>
                <w:sz w:val="24"/>
              </w:rPr>
              <w:t>GAP Risk is the risk arising from the term structure of instruments in banking book that arises from differences in the timing of their rate changes. The extent of gap risk depends on whether the changes to the term structure of interest rates occur consistently across the yield curve (parallel risk) or differentially by period (non-parallel risk).</w:t>
            </w:r>
          </w:p>
        </w:tc>
      </w:tr>
      <w:tr w:rsidR="00E2702C" w:rsidTr="004E23A1">
        <w:tc>
          <w:tcPr>
            <w:tcW w:w="745" w:type="dxa"/>
          </w:tcPr>
          <w:p w:rsidR="00E2702C" w:rsidRDefault="008F4EED" w:rsidP="00E2702C">
            <w:pPr>
              <w:pStyle w:val="NoSpacing"/>
              <w:rPr>
                <w:sz w:val="24"/>
              </w:rPr>
            </w:pPr>
            <w:r>
              <w:rPr>
                <w:sz w:val="24"/>
              </w:rPr>
              <w:t>2</w:t>
            </w:r>
          </w:p>
        </w:tc>
        <w:tc>
          <w:tcPr>
            <w:tcW w:w="847" w:type="dxa"/>
          </w:tcPr>
          <w:p w:rsidR="00E2702C" w:rsidRPr="00F26EA0" w:rsidRDefault="00775645" w:rsidP="00E2702C">
            <w:pPr>
              <w:pStyle w:val="NoSpacing"/>
              <w:rPr>
                <w:sz w:val="24"/>
              </w:rPr>
            </w:pPr>
            <w:r>
              <w:rPr>
                <w:sz w:val="24"/>
              </w:rPr>
              <w:t>90</w:t>
            </w:r>
          </w:p>
        </w:tc>
        <w:tc>
          <w:tcPr>
            <w:tcW w:w="4765" w:type="dxa"/>
          </w:tcPr>
          <w:p w:rsidR="00E2702C" w:rsidRDefault="00775645" w:rsidP="00E2702C">
            <w:pPr>
              <w:pStyle w:val="NoSpacing"/>
              <w:rPr>
                <w:sz w:val="24"/>
              </w:rPr>
            </w:pPr>
            <w:r w:rsidRPr="008F4EED">
              <w:rPr>
                <w:sz w:val="24"/>
                <w:highlight w:val="yellow"/>
              </w:rPr>
              <w:t>Table 4.8</w:t>
            </w:r>
          </w:p>
          <w:p w:rsidR="00775645" w:rsidRPr="00F26EA0" w:rsidRDefault="00775645" w:rsidP="00E2702C">
            <w:pPr>
              <w:pStyle w:val="NoSpacing"/>
              <w:rPr>
                <w:sz w:val="24"/>
              </w:rPr>
            </w:pPr>
            <w:r>
              <w:rPr>
                <w:sz w:val="24"/>
              </w:rPr>
              <w:t>Net Interest Income 94.5 – 56.0</w:t>
            </w:r>
          </w:p>
        </w:tc>
        <w:tc>
          <w:tcPr>
            <w:tcW w:w="4172" w:type="dxa"/>
          </w:tcPr>
          <w:p w:rsidR="00E2702C" w:rsidRDefault="00775645" w:rsidP="00E2702C">
            <w:pPr>
              <w:pStyle w:val="NoSpacing"/>
              <w:rPr>
                <w:sz w:val="24"/>
              </w:rPr>
            </w:pPr>
            <w:r w:rsidRPr="008F4EED">
              <w:rPr>
                <w:sz w:val="24"/>
                <w:highlight w:val="yellow"/>
              </w:rPr>
              <w:t>Table 4.8</w:t>
            </w:r>
          </w:p>
          <w:p w:rsidR="00775645" w:rsidRPr="00F26EA0" w:rsidRDefault="00775645" w:rsidP="00E2702C">
            <w:pPr>
              <w:pStyle w:val="NoSpacing"/>
              <w:rPr>
                <w:sz w:val="24"/>
              </w:rPr>
            </w:pPr>
            <w:r>
              <w:rPr>
                <w:sz w:val="24"/>
              </w:rPr>
              <w:t xml:space="preserve">Net Interest Income 94.5 – </w:t>
            </w:r>
            <w:r w:rsidRPr="008F4EED">
              <w:rPr>
                <w:color w:val="FF0000"/>
                <w:sz w:val="24"/>
              </w:rPr>
              <w:t>60.0</w:t>
            </w:r>
          </w:p>
        </w:tc>
      </w:tr>
      <w:tr w:rsidR="00775645" w:rsidTr="004E23A1">
        <w:tc>
          <w:tcPr>
            <w:tcW w:w="745" w:type="dxa"/>
          </w:tcPr>
          <w:p w:rsidR="00775645" w:rsidRDefault="008F4EED" w:rsidP="00775645">
            <w:pPr>
              <w:pStyle w:val="NoSpacing"/>
              <w:rPr>
                <w:sz w:val="24"/>
              </w:rPr>
            </w:pPr>
            <w:r>
              <w:rPr>
                <w:sz w:val="24"/>
              </w:rPr>
              <w:t>3</w:t>
            </w:r>
          </w:p>
        </w:tc>
        <w:tc>
          <w:tcPr>
            <w:tcW w:w="847" w:type="dxa"/>
          </w:tcPr>
          <w:p w:rsidR="00775645" w:rsidRPr="00F26EA0" w:rsidRDefault="00775645" w:rsidP="00775645">
            <w:pPr>
              <w:pStyle w:val="NoSpacing"/>
              <w:rPr>
                <w:sz w:val="24"/>
              </w:rPr>
            </w:pPr>
            <w:r>
              <w:rPr>
                <w:sz w:val="24"/>
              </w:rPr>
              <w:t>93</w:t>
            </w:r>
          </w:p>
        </w:tc>
        <w:tc>
          <w:tcPr>
            <w:tcW w:w="4765" w:type="dxa"/>
          </w:tcPr>
          <w:p w:rsidR="00775645" w:rsidRDefault="00775645" w:rsidP="00775645">
            <w:pPr>
              <w:pStyle w:val="NoSpacing"/>
              <w:rPr>
                <w:sz w:val="24"/>
              </w:rPr>
            </w:pPr>
            <w:r w:rsidRPr="00775645">
              <w:rPr>
                <w:sz w:val="24"/>
                <w:highlight w:val="yellow"/>
              </w:rPr>
              <w:t>Table 4.11</w:t>
            </w:r>
          </w:p>
          <w:p w:rsidR="00775645" w:rsidRPr="00F26EA0" w:rsidRDefault="00775645" w:rsidP="00775645">
            <w:pPr>
              <w:pStyle w:val="NoSpacing"/>
              <w:rPr>
                <w:sz w:val="24"/>
              </w:rPr>
            </w:pPr>
            <w:r>
              <w:rPr>
                <w:sz w:val="24"/>
              </w:rPr>
              <w:t>Net Interest Income 73.5 – 52.0</w:t>
            </w:r>
          </w:p>
        </w:tc>
        <w:tc>
          <w:tcPr>
            <w:tcW w:w="4172" w:type="dxa"/>
          </w:tcPr>
          <w:p w:rsidR="00775645" w:rsidRDefault="00775645" w:rsidP="00775645">
            <w:pPr>
              <w:pStyle w:val="NoSpacing"/>
              <w:rPr>
                <w:sz w:val="24"/>
              </w:rPr>
            </w:pPr>
            <w:r w:rsidRPr="00775645">
              <w:rPr>
                <w:sz w:val="24"/>
                <w:highlight w:val="yellow"/>
              </w:rPr>
              <w:t>Table 4.11</w:t>
            </w:r>
          </w:p>
          <w:p w:rsidR="00775645" w:rsidRPr="00F26EA0" w:rsidRDefault="00775645" w:rsidP="00775645">
            <w:pPr>
              <w:pStyle w:val="NoSpacing"/>
              <w:rPr>
                <w:sz w:val="24"/>
              </w:rPr>
            </w:pPr>
            <w:r>
              <w:rPr>
                <w:sz w:val="24"/>
              </w:rPr>
              <w:t xml:space="preserve">Net Interest Income </w:t>
            </w:r>
            <w:r w:rsidRPr="00AA171E">
              <w:rPr>
                <w:color w:val="FF0000"/>
                <w:sz w:val="24"/>
              </w:rPr>
              <w:t>161 - 88</w:t>
            </w:r>
          </w:p>
        </w:tc>
      </w:tr>
      <w:tr w:rsidR="00775645" w:rsidTr="004E23A1">
        <w:tc>
          <w:tcPr>
            <w:tcW w:w="745" w:type="dxa"/>
          </w:tcPr>
          <w:p w:rsidR="00775645" w:rsidRPr="00F26EA0" w:rsidRDefault="008F4EED" w:rsidP="00775645">
            <w:pPr>
              <w:pStyle w:val="NoSpacing"/>
              <w:rPr>
                <w:sz w:val="24"/>
              </w:rPr>
            </w:pPr>
            <w:r>
              <w:rPr>
                <w:sz w:val="24"/>
              </w:rPr>
              <w:t>4</w:t>
            </w:r>
          </w:p>
        </w:tc>
        <w:tc>
          <w:tcPr>
            <w:tcW w:w="847" w:type="dxa"/>
          </w:tcPr>
          <w:p w:rsidR="00775645" w:rsidRPr="00F26EA0" w:rsidRDefault="00775645" w:rsidP="00775645">
            <w:pPr>
              <w:pStyle w:val="NoSpacing"/>
              <w:rPr>
                <w:sz w:val="24"/>
              </w:rPr>
            </w:pPr>
            <w:r>
              <w:rPr>
                <w:sz w:val="24"/>
              </w:rPr>
              <w:t>96</w:t>
            </w:r>
          </w:p>
        </w:tc>
        <w:tc>
          <w:tcPr>
            <w:tcW w:w="4765" w:type="dxa"/>
          </w:tcPr>
          <w:p w:rsidR="00775645" w:rsidRDefault="00775645" w:rsidP="00775645">
            <w:pPr>
              <w:pStyle w:val="NoSpacing"/>
              <w:rPr>
                <w:sz w:val="24"/>
              </w:rPr>
            </w:pPr>
            <w:r w:rsidRPr="00715A16">
              <w:rPr>
                <w:sz w:val="24"/>
                <w:highlight w:val="yellow"/>
              </w:rPr>
              <w:t>Example:</w:t>
            </w:r>
            <w:r>
              <w:rPr>
                <w:sz w:val="24"/>
              </w:rPr>
              <w:t xml:space="preserve"> </w:t>
            </w:r>
          </w:p>
          <w:p w:rsidR="00775645" w:rsidRPr="00AA171E" w:rsidRDefault="00775645" w:rsidP="00775645">
            <w:pPr>
              <w:pStyle w:val="NoSpacing"/>
              <w:rPr>
                <w:sz w:val="24"/>
              </w:rPr>
            </w:pPr>
            <w:r>
              <w:rPr>
                <w:sz w:val="24"/>
              </w:rPr>
              <w:t xml:space="preserve">Step 2: </w:t>
            </w:r>
            <w:r w:rsidRPr="00AA171E">
              <w:rPr>
                <w:sz w:val="24"/>
              </w:rPr>
              <w:t>Identify if it is positive or negative GAP. In this case the GAP is negative. The Bank is liability</w:t>
            </w:r>
          </w:p>
          <w:p w:rsidR="00775645" w:rsidRPr="00AA171E" w:rsidRDefault="00775645" w:rsidP="00775645">
            <w:pPr>
              <w:pStyle w:val="NoSpacing"/>
              <w:rPr>
                <w:sz w:val="24"/>
              </w:rPr>
            </w:pPr>
            <w:r w:rsidRPr="00AA171E">
              <w:rPr>
                <w:sz w:val="24"/>
              </w:rPr>
              <w:t>sensitive. Liability sensitive banks gain when there is a fall in interest rate.</w:t>
            </w:r>
          </w:p>
          <w:p w:rsidR="00775645" w:rsidRPr="00F26EA0" w:rsidRDefault="00775645" w:rsidP="00775645">
            <w:pPr>
              <w:pStyle w:val="NoSpacing"/>
              <w:rPr>
                <w:sz w:val="24"/>
              </w:rPr>
            </w:pPr>
            <w:r w:rsidRPr="00AA171E">
              <w:rPr>
                <w:sz w:val="24"/>
              </w:rPr>
              <w:t xml:space="preserve">Step 3: The impact on earning = GAP × Δ I = 960 × (–)0.5 = </w:t>
            </w:r>
            <w:proofErr w:type="spellStart"/>
            <w:r>
              <w:rPr>
                <w:sz w:val="24"/>
              </w:rPr>
              <w:t>Rs</w:t>
            </w:r>
            <w:proofErr w:type="spellEnd"/>
            <w:r>
              <w:rPr>
                <w:sz w:val="24"/>
              </w:rPr>
              <w:t>.</w:t>
            </w:r>
            <w:r w:rsidRPr="00AA171E">
              <w:rPr>
                <w:sz w:val="24"/>
              </w:rPr>
              <w:t xml:space="preserve"> (480) </w:t>
            </w:r>
            <w:proofErr w:type="spellStart"/>
            <w:r w:rsidRPr="00AA171E">
              <w:rPr>
                <w:sz w:val="24"/>
              </w:rPr>
              <w:t>cr</w:t>
            </w:r>
            <w:proofErr w:type="spellEnd"/>
          </w:p>
        </w:tc>
        <w:tc>
          <w:tcPr>
            <w:tcW w:w="4172" w:type="dxa"/>
          </w:tcPr>
          <w:p w:rsidR="00775645" w:rsidRDefault="00775645" w:rsidP="00775645">
            <w:pPr>
              <w:pStyle w:val="NoSpacing"/>
              <w:rPr>
                <w:sz w:val="24"/>
              </w:rPr>
            </w:pPr>
            <w:r w:rsidRPr="00715A16">
              <w:rPr>
                <w:sz w:val="24"/>
                <w:highlight w:val="yellow"/>
              </w:rPr>
              <w:t>Example:</w:t>
            </w:r>
          </w:p>
          <w:p w:rsidR="00775645" w:rsidRPr="00AA171E" w:rsidRDefault="00775645" w:rsidP="00775645">
            <w:pPr>
              <w:pStyle w:val="NoSpacing"/>
              <w:rPr>
                <w:color w:val="FF0000"/>
                <w:sz w:val="24"/>
              </w:rPr>
            </w:pPr>
            <w:r>
              <w:rPr>
                <w:sz w:val="24"/>
              </w:rPr>
              <w:t xml:space="preserve">Step 2: </w:t>
            </w:r>
            <w:r w:rsidRPr="00AA171E">
              <w:rPr>
                <w:sz w:val="24"/>
              </w:rPr>
              <w:t xml:space="preserve">Identify if it is positive or negative GAP. In this case the GAP is </w:t>
            </w:r>
            <w:r w:rsidRPr="00AA171E">
              <w:rPr>
                <w:color w:val="FF0000"/>
                <w:sz w:val="24"/>
              </w:rPr>
              <w:t>positive</w:t>
            </w:r>
            <w:r w:rsidRPr="00AA171E">
              <w:rPr>
                <w:sz w:val="24"/>
              </w:rPr>
              <w:t xml:space="preserve">. The Bank is </w:t>
            </w:r>
            <w:r w:rsidRPr="00AA171E">
              <w:rPr>
                <w:color w:val="FF0000"/>
                <w:sz w:val="24"/>
              </w:rPr>
              <w:t>asset</w:t>
            </w:r>
          </w:p>
          <w:p w:rsidR="00775645" w:rsidRPr="00AA171E" w:rsidRDefault="00775645" w:rsidP="00775645">
            <w:pPr>
              <w:pStyle w:val="NoSpacing"/>
              <w:rPr>
                <w:sz w:val="24"/>
              </w:rPr>
            </w:pPr>
            <w:r w:rsidRPr="00AA171E">
              <w:rPr>
                <w:color w:val="FF0000"/>
                <w:sz w:val="24"/>
              </w:rPr>
              <w:t>sensitive</w:t>
            </w:r>
            <w:r w:rsidRPr="00AA171E">
              <w:rPr>
                <w:sz w:val="24"/>
              </w:rPr>
              <w:t xml:space="preserve">. </w:t>
            </w:r>
            <w:r w:rsidRPr="00AA171E">
              <w:rPr>
                <w:color w:val="FF0000"/>
                <w:sz w:val="24"/>
              </w:rPr>
              <w:t>Asset sensitive bank loses</w:t>
            </w:r>
            <w:r>
              <w:rPr>
                <w:sz w:val="24"/>
              </w:rPr>
              <w:t xml:space="preserve"> </w:t>
            </w:r>
            <w:r w:rsidRPr="00AA171E">
              <w:rPr>
                <w:sz w:val="24"/>
              </w:rPr>
              <w:t>when there is a fall in interest rate.</w:t>
            </w:r>
          </w:p>
          <w:p w:rsidR="00775645" w:rsidRPr="00F26EA0" w:rsidRDefault="00775645" w:rsidP="00775645">
            <w:pPr>
              <w:pStyle w:val="NoSpacing"/>
              <w:rPr>
                <w:sz w:val="24"/>
              </w:rPr>
            </w:pPr>
            <w:r w:rsidRPr="00AA171E">
              <w:rPr>
                <w:sz w:val="24"/>
              </w:rPr>
              <w:t xml:space="preserve">Step 3: The impact on earning = GAP × Δ I = </w:t>
            </w:r>
            <w:r w:rsidRPr="00AA171E">
              <w:rPr>
                <w:color w:val="FF0000"/>
                <w:sz w:val="24"/>
              </w:rPr>
              <w:t xml:space="preserve">960 × (–)0.005 = (-) </w:t>
            </w:r>
            <w:proofErr w:type="spellStart"/>
            <w:r w:rsidRPr="00AA171E">
              <w:rPr>
                <w:color w:val="FF0000"/>
                <w:sz w:val="24"/>
              </w:rPr>
              <w:t>Rs</w:t>
            </w:r>
            <w:proofErr w:type="spellEnd"/>
            <w:r w:rsidRPr="00AA171E">
              <w:rPr>
                <w:color w:val="FF0000"/>
                <w:sz w:val="24"/>
              </w:rPr>
              <w:t xml:space="preserve">. 4.80 </w:t>
            </w:r>
            <w:proofErr w:type="spellStart"/>
            <w:r w:rsidRPr="00AA171E">
              <w:rPr>
                <w:color w:val="FF0000"/>
                <w:sz w:val="24"/>
              </w:rPr>
              <w:t>cr</w:t>
            </w:r>
            <w:proofErr w:type="spellEnd"/>
          </w:p>
        </w:tc>
      </w:tr>
      <w:tr w:rsidR="00E01CC0" w:rsidTr="004E23A1">
        <w:tc>
          <w:tcPr>
            <w:tcW w:w="745" w:type="dxa"/>
          </w:tcPr>
          <w:p w:rsidR="00E01CC0" w:rsidRDefault="008F4EED" w:rsidP="00775645">
            <w:pPr>
              <w:pStyle w:val="NoSpacing"/>
              <w:rPr>
                <w:sz w:val="24"/>
              </w:rPr>
            </w:pPr>
            <w:r>
              <w:rPr>
                <w:sz w:val="24"/>
              </w:rPr>
              <w:t>5</w:t>
            </w:r>
          </w:p>
        </w:tc>
        <w:tc>
          <w:tcPr>
            <w:tcW w:w="847" w:type="dxa"/>
          </w:tcPr>
          <w:p w:rsidR="00E01CC0" w:rsidRDefault="00E01CC0" w:rsidP="00775645">
            <w:pPr>
              <w:pStyle w:val="NoSpacing"/>
              <w:rPr>
                <w:sz w:val="24"/>
              </w:rPr>
            </w:pPr>
            <w:r>
              <w:rPr>
                <w:sz w:val="24"/>
              </w:rPr>
              <w:t>127</w:t>
            </w:r>
          </w:p>
        </w:tc>
        <w:tc>
          <w:tcPr>
            <w:tcW w:w="4765" w:type="dxa"/>
          </w:tcPr>
          <w:p w:rsidR="00E01CC0" w:rsidRDefault="00E01CC0" w:rsidP="00E01CC0">
            <w:pPr>
              <w:pStyle w:val="NoSpacing"/>
              <w:rPr>
                <w:rFonts w:ascii="Times New Roman" w:hAnsi="Times New Roman" w:cs="Times New Roman"/>
                <w:i/>
                <w:iCs/>
                <w:sz w:val="21"/>
                <w:szCs w:val="21"/>
              </w:rPr>
            </w:pPr>
            <w:r w:rsidRPr="00E01CC0">
              <w:rPr>
                <w:rFonts w:ascii="Times New Roman" w:hAnsi="Times New Roman" w:cs="Times New Roman"/>
                <w:b/>
                <w:bCs/>
                <w:sz w:val="21"/>
                <w:szCs w:val="21"/>
              </w:rPr>
              <w:t>1</w:t>
            </w:r>
            <w:r w:rsidRPr="00E01CC0">
              <w:rPr>
                <w:rFonts w:ascii="Times New Roman" w:hAnsi="Times New Roman" w:cs="Times New Roman"/>
                <w:sz w:val="12"/>
                <w:szCs w:val="12"/>
              </w:rPr>
              <w:t xml:space="preserve">st </w:t>
            </w:r>
            <w:r w:rsidRPr="00E01CC0">
              <w:rPr>
                <w:rFonts w:ascii="Times New Roman" w:hAnsi="Times New Roman" w:cs="Times New Roman"/>
                <w:b/>
                <w:bCs/>
                <w:sz w:val="21"/>
                <w:szCs w:val="21"/>
              </w:rPr>
              <w:t xml:space="preserve">Step: </w:t>
            </w:r>
            <w:r w:rsidRPr="00E01CC0">
              <w:rPr>
                <w:rFonts w:ascii="Times New Roman" w:hAnsi="Times New Roman" w:cs="Times New Roman"/>
                <w:sz w:val="21"/>
                <w:szCs w:val="21"/>
              </w:rPr>
              <w:t xml:space="preserve">It is useful to set up norms for classification of assets and liabilities into different time buckets. </w:t>
            </w:r>
            <w:r w:rsidRPr="00E01CC0">
              <w:rPr>
                <w:rFonts w:ascii="Times New Roman" w:hAnsi="Times New Roman" w:cs="Times New Roman"/>
                <w:i/>
                <w:iCs/>
                <w:sz w:val="21"/>
                <w:szCs w:val="21"/>
              </w:rPr>
              <w:t>In this regard, it may be useful to refer to (RBI circular RBI No 2012-13/285 DBOD.BP. No.56/21.04.098/2012-13 dated November7, 2012) Liquidity Risk Guidelines.</w:t>
            </w:r>
          </w:p>
          <w:p w:rsidR="00E01CC0" w:rsidRPr="00E01CC0" w:rsidRDefault="00E01CC0" w:rsidP="00E01CC0">
            <w:pPr>
              <w:pStyle w:val="NoSpacing"/>
              <w:rPr>
                <w:sz w:val="24"/>
                <w:highlight w:val="yellow"/>
              </w:rPr>
            </w:pPr>
          </w:p>
        </w:tc>
        <w:tc>
          <w:tcPr>
            <w:tcW w:w="4172" w:type="dxa"/>
          </w:tcPr>
          <w:p w:rsidR="00E01CC0" w:rsidRPr="00715A16" w:rsidRDefault="00E01CC0" w:rsidP="00E01CC0">
            <w:pPr>
              <w:pStyle w:val="NoSpacing"/>
              <w:rPr>
                <w:sz w:val="24"/>
                <w:highlight w:val="yellow"/>
              </w:rPr>
            </w:pPr>
            <w:r w:rsidRPr="00E01CC0">
              <w:rPr>
                <w:rFonts w:ascii="Times New Roman" w:hAnsi="Times New Roman" w:cs="Times New Roman"/>
                <w:b/>
                <w:bCs/>
                <w:sz w:val="21"/>
                <w:szCs w:val="21"/>
              </w:rPr>
              <w:t>1</w:t>
            </w:r>
            <w:r w:rsidRPr="00E01CC0">
              <w:rPr>
                <w:rFonts w:ascii="Times New Roman" w:hAnsi="Times New Roman" w:cs="Times New Roman"/>
                <w:sz w:val="12"/>
                <w:szCs w:val="12"/>
              </w:rPr>
              <w:t xml:space="preserve">st </w:t>
            </w:r>
            <w:r w:rsidRPr="00E01CC0">
              <w:rPr>
                <w:rFonts w:ascii="Times New Roman" w:hAnsi="Times New Roman" w:cs="Times New Roman"/>
                <w:b/>
                <w:bCs/>
                <w:sz w:val="21"/>
                <w:szCs w:val="21"/>
              </w:rPr>
              <w:t xml:space="preserve">Step: </w:t>
            </w:r>
            <w:r w:rsidRPr="00E01CC0">
              <w:rPr>
                <w:rFonts w:ascii="Times New Roman" w:hAnsi="Times New Roman" w:cs="Times New Roman"/>
                <w:sz w:val="21"/>
                <w:szCs w:val="21"/>
              </w:rPr>
              <w:t xml:space="preserve">It is useful to set up norms for classification of assets and liabilities into different time buckets. </w:t>
            </w:r>
            <w:r w:rsidRPr="00E01CC0">
              <w:rPr>
                <w:rFonts w:ascii="Times New Roman" w:hAnsi="Times New Roman" w:cs="Times New Roman"/>
                <w:i/>
                <w:iCs/>
                <w:sz w:val="21"/>
                <w:szCs w:val="21"/>
              </w:rPr>
              <w:t xml:space="preserve">In this regard, it may be useful to refer to (RBI circular RBI No 2012-13/285 DBOD.BP. No.56/21.04.098/2012-13 dated November7, </w:t>
            </w:r>
            <w:r>
              <w:rPr>
                <w:rFonts w:ascii="Times New Roman" w:hAnsi="Times New Roman" w:cs="Times New Roman"/>
                <w:i/>
                <w:iCs/>
                <w:sz w:val="21"/>
                <w:szCs w:val="21"/>
              </w:rPr>
              <w:t xml:space="preserve">2012) Liquidity Risk Guidelines </w:t>
            </w:r>
            <w:r w:rsidRPr="00E01CC0">
              <w:rPr>
                <w:i/>
                <w:iCs/>
                <w:color w:val="FF0000"/>
              </w:rPr>
              <w:t>and RBI circular No RBI/2015-16/344 DBR.BP.BC.No.86/21.04.098/2015-16 Dated March 23, 2016</w:t>
            </w:r>
          </w:p>
        </w:tc>
      </w:tr>
      <w:tr w:rsidR="009B5024" w:rsidTr="004E23A1">
        <w:tc>
          <w:tcPr>
            <w:tcW w:w="745" w:type="dxa"/>
          </w:tcPr>
          <w:p w:rsidR="009B5024" w:rsidRDefault="008F4EED" w:rsidP="00775645">
            <w:pPr>
              <w:pStyle w:val="NoSpacing"/>
              <w:rPr>
                <w:sz w:val="24"/>
              </w:rPr>
            </w:pPr>
            <w:r>
              <w:rPr>
                <w:sz w:val="24"/>
              </w:rPr>
              <w:t>6</w:t>
            </w:r>
          </w:p>
        </w:tc>
        <w:tc>
          <w:tcPr>
            <w:tcW w:w="847" w:type="dxa"/>
          </w:tcPr>
          <w:p w:rsidR="009B5024" w:rsidRDefault="009B5024" w:rsidP="00775645">
            <w:pPr>
              <w:pStyle w:val="NoSpacing"/>
              <w:rPr>
                <w:sz w:val="24"/>
              </w:rPr>
            </w:pPr>
            <w:r>
              <w:rPr>
                <w:sz w:val="24"/>
              </w:rPr>
              <w:t>130</w:t>
            </w:r>
          </w:p>
        </w:tc>
        <w:tc>
          <w:tcPr>
            <w:tcW w:w="4765" w:type="dxa"/>
          </w:tcPr>
          <w:p w:rsidR="009B5024" w:rsidRDefault="00E91EA8" w:rsidP="00775645">
            <w:pPr>
              <w:pStyle w:val="NoSpacing"/>
              <w:rPr>
                <w:sz w:val="24"/>
              </w:rPr>
            </w:pPr>
            <w:r>
              <w:rPr>
                <w:sz w:val="24"/>
              </w:rPr>
              <w:t xml:space="preserve">Say </w:t>
            </w:r>
            <w:proofErr w:type="spellStart"/>
            <w:r>
              <w:rPr>
                <w:sz w:val="24"/>
              </w:rPr>
              <w:t>upto</w:t>
            </w:r>
            <w:proofErr w:type="spellEnd"/>
            <w:r>
              <w:rPr>
                <w:sz w:val="24"/>
              </w:rPr>
              <w:t xml:space="preserve"> 28 days</w:t>
            </w:r>
          </w:p>
          <w:p w:rsidR="008F4EED" w:rsidRDefault="008F4EED" w:rsidP="00775645">
            <w:pPr>
              <w:pStyle w:val="NoSpacing"/>
              <w:rPr>
                <w:sz w:val="24"/>
              </w:rPr>
            </w:pPr>
          </w:p>
          <w:p w:rsidR="008F4EED" w:rsidRDefault="008F4EED" w:rsidP="008F4EED">
            <w:pPr>
              <w:pStyle w:val="NoSpacing"/>
              <w:rPr>
                <w:sz w:val="24"/>
              </w:rPr>
            </w:pPr>
            <w:r w:rsidRPr="00E91EA8">
              <w:rPr>
                <w:sz w:val="24"/>
              </w:rPr>
              <w:t>As per RBI guidelines, the net cumulative</w:t>
            </w:r>
            <w:r>
              <w:rPr>
                <w:sz w:val="24"/>
              </w:rPr>
              <w:t xml:space="preserve"> </w:t>
            </w:r>
            <w:r w:rsidRPr="00E91EA8">
              <w:rPr>
                <w:sz w:val="24"/>
              </w:rPr>
              <w:t>negative mismatches in the domestic structural liquidity statement during the next day, 2-7 days, 8-14</w:t>
            </w:r>
            <w:r>
              <w:rPr>
                <w:sz w:val="24"/>
              </w:rPr>
              <w:t xml:space="preserve"> </w:t>
            </w:r>
            <w:r w:rsidRPr="00E91EA8">
              <w:rPr>
                <w:sz w:val="24"/>
              </w:rPr>
              <w:t>days and 15-28 days bucket</w:t>
            </w:r>
            <w:r>
              <w:rPr>
                <w:sz w:val="24"/>
              </w:rPr>
              <w:t>…</w:t>
            </w:r>
          </w:p>
        </w:tc>
        <w:tc>
          <w:tcPr>
            <w:tcW w:w="4172" w:type="dxa"/>
          </w:tcPr>
          <w:p w:rsidR="009B5024" w:rsidRDefault="00E91EA8" w:rsidP="00775645">
            <w:pPr>
              <w:pStyle w:val="NoSpacing"/>
              <w:rPr>
                <w:sz w:val="24"/>
              </w:rPr>
            </w:pPr>
            <w:r>
              <w:rPr>
                <w:sz w:val="24"/>
              </w:rPr>
              <w:t xml:space="preserve">Say </w:t>
            </w:r>
            <w:proofErr w:type="spellStart"/>
            <w:r>
              <w:rPr>
                <w:sz w:val="24"/>
              </w:rPr>
              <w:t>upto</w:t>
            </w:r>
            <w:proofErr w:type="spellEnd"/>
            <w:r>
              <w:rPr>
                <w:sz w:val="24"/>
              </w:rPr>
              <w:t xml:space="preserve"> </w:t>
            </w:r>
            <w:r w:rsidRPr="008F4EED">
              <w:rPr>
                <w:color w:val="FF0000"/>
                <w:sz w:val="24"/>
              </w:rPr>
              <w:t>30 days</w:t>
            </w:r>
          </w:p>
          <w:p w:rsidR="00E91EA8" w:rsidRDefault="00E91EA8" w:rsidP="00775645">
            <w:pPr>
              <w:pStyle w:val="NoSpacing"/>
              <w:rPr>
                <w:sz w:val="24"/>
              </w:rPr>
            </w:pPr>
          </w:p>
          <w:p w:rsidR="00E91EA8" w:rsidRPr="00E91EA8" w:rsidRDefault="00E91EA8" w:rsidP="00E91EA8">
            <w:pPr>
              <w:pStyle w:val="NoSpacing"/>
              <w:rPr>
                <w:sz w:val="24"/>
              </w:rPr>
            </w:pPr>
            <w:r w:rsidRPr="00E91EA8">
              <w:rPr>
                <w:sz w:val="24"/>
              </w:rPr>
              <w:t>As per RBI guidelines, the net cumulative</w:t>
            </w:r>
            <w:r>
              <w:rPr>
                <w:sz w:val="24"/>
              </w:rPr>
              <w:t xml:space="preserve"> </w:t>
            </w:r>
            <w:r w:rsidRPr="00E91EA8">
              <w:rPr>
                <w:sz w:val="24"/>
              </w:rPr>
              <w:t>negative mismatches in the domestic structural liquidity statement during the next day, 2-7 days, 8-14</w:t>
            </w:r>
          </w:p>
          <w:p w:rsidR="00E91EA8" w:rsidRPr="0005250F" w:rsidRDefault="00E91EA8" w:rsidP="008F4EED">
            <w:pPr>
              <w:pStyle w:val="NoSpacing"/>
              <w:rPr>
                <w:sz w:val="24"/>
              </w:rPr>
            </w:pPr>
            <w:r w:rsidRPr="00E91EA8">
              <w:rPr>
                <w:sz w:val="24"/>
              </w:rPr>
              <w:t>days and 15-</w:t>
            </w:r>
            <w:r w:rsidR="008F4EED" w:rsidRPr="008F4EED">
              <w:rPr>
                <w:color w:val="FF0000"/>
                <w:sz w:val="24"/>
              </w:rPr>
              <w:t>30</w:t>
            </w:r>
            <w:r w:rsidRPr="008F4EED">
              <w:rPr>
                <w:color w:val="FF0000"/>
                <w:sz w:val="24"/>
              </w:rPr>
              <w:t xml:space="preserve"> days</w:t>
            </w:r>
            <w:r w:rsidRPr="00E91EA8">
              <w:rPr>
                <w:sz w:val="24"/>
              </w:rPr>
              <w:t xml:space="preserve"> bucket</w:t>
            </w:r>
            <w:r>
              <w:rPr>
                <w:sz w:val="24"/>
              </w:rPr>
              <w:t>…</w:t>
            </w:r>
          </w:p>
        </w:tc>
      </w:tr>
      <w:tr w:rsidR="00E01CC0" w:rsidTr="004E23A1">
        <w:tc>
          <w:tcPr>
            <w:tcW w:w="745" w:type="dxa"/>
          </w:tcPr>
          <w:p w:rsidR="00E01CC0" w:rsidRDefault="008F4EED" w:rsidP="00775645">
            <w:pPr>
              <w:pStyle w:val="NoSpacing"/>
              <w:rPr>
                <w:sz w:val="24"/>
              </w:rPr>
            </w:pPr>
            <w:r>
              <w:rPr>
                <w:sz w:val="24"/>
              </w:rPr>
              <w:t>7</w:t>
            </w:r>
          </w:p>
        </w:tc>
        <w:tc>
          <w:tcPr>
            <w:tcW w:w="847" w:type="dxa"/>
          </w:tcPr>
          <w:p w:rsidR="00E01CC0" w:rsidRDefault="00E01CC0" w:rsidP="00775645">
            <w:pPr>
              <w:pStyle w:val="NoSpacing"/>
              <w:rPr>
                <w:sz w:val="24"/>
              </w:rPr>
            </w:pPr>
            <w:r>
              <w:rPr>
                <w:sz w:val="24"/>
              </w:rPr>
              <w:t>131</w:t>
            </w:r>
          </w:p>
        </w:tc>
        <w:tc>
          <w:tcPr>
            <w:tcW w:w="4765" w:type="dxa"/>
          </w:tcPr>
          <w:p w:rsidR="00E01CC0" w:rsidRDefault="0005250F" w:rsidP="00775645">
            <w:pPr>
              <w:pStyle w:val="NoSpacing"/>
              <w:rPr>
                <w:sz w:val="24"/>
              </w:rPr>
            </w:pPr>
            <w:r w:rsidRPr="00E91EA8">
              <w:rPr>
                <w:sz w:val="24"/>
                <w:highlight w:val="yellow"/>
              </w:rPr>
              <w:t>5.9.3</w:t>
            </w:r>
          </w:p>
          <w:p w:rsidR="0005250F" w:rsidRPr="00715A16" w:rsidRDefault="0005250F" w:rsidP="0005250F">
            <w:pPr>
              <w:pStyle w:val="NoSpacing"/>
              <w:rPr>
                <w:sz w:val="24"/>
                <w:highlight w:val="yellow"/>
              </w:rPr>
            </w:pPr>
            <w:r w:rsidRPr="0005250F">
              <w:rPr>
                <w:sz w:val="24"/>
              </w:rPr>
              <w:t xml:space="preserve">Particularly, bank has to ensure that the net cumulative negative mismatches in the </w:t>
            </w:r>
            <w:r w:rsidRPr="0005250F">
              <w:rPr>
                <w:sz w:val="24"/>
              </w:rPr>
              <w:lastRenderedPageBreak/>
              <w:t>domestic</w:t>
            </w:r>
            <w:r>
              <w:rPr>
                <w:sz w:val="24"/>
              </w:rPr>
              <w:t xml:space="preserve"> </w:t>
            </w:r>
            <w:r w:rsidRPr="0005250F">
              <w:rPr>
                <w:sz w:val="24"/>
              </w:rPr>
              <w:t xml:space="preserve">structural liquidity statement during the next day, 2-7 days, 8-14 days and </w:t>
            </w:r>
            <w:r w:rsidRPr="00E91EA8">
              <w:rPr>
                <w:sz w:val="24"/>
              </w:rPr>
              <w:t>15-28</w:t>
            </w:r>
            <w:r w:rsidRPr="0005250F">
              <w:rPr>
                <w:sz w:val="24"/>
              </w:rPr>
              <w:t xml:space="preserve"> days bucket</w:t>
            </w:r>
          </w:p>
        </w:tc>
        <w:tc>
          <w:tcPr>
            <w:tcW w:w="4172" w:type="dxa"/>
          </w:tcPr>
          <w:p w:rsidR="00E01CC0" w:rsidRDefault="0005250F" w:rsidP="00775645">
            <w:pPr>
              <w:pStyle w:val="NoSpacing"/>
              <w:rPr>
                <w:sz w:val="24"/>
              </w:rPr>
            </w:pPr>
            <w:r w:rsidRPr="00E91EA8">
              <w:rPr>
                <w:sz w:val="24"/>
                <w:highlight w:val="yellow"/>
              </w:rPr>
              <w:lastRenderedPageBreak/>
              <w:t>5.9.3</w:t>
            </w:r>
          </w:p>
          <w:p w:rsidR="0005250F" w:rsidRPr="00715A16" w:rsidRDefault="0005250F" w:rsidP="0005250F">
            <w:pPr>
              <w:pStyle w:val="NoSpacing"/>
              <w:rPr>
                <w:sz w:val="24"/>
                <w:highlight w:val="yellow"/>
              </w:rPr>
            </w:pPr>
            <w:r w:rsidRPr="0005250F">
              <w:rPr>
                <w:sz w:val="24"/>
              </w:rPr>
              <w:t xml:space="preserve">Particularly, bank has to ensure that the net cumulative negative mismatches in </w:t>
            </w:r>
            <w:r w:rsidRPr="0005250F">
              <w:rPr>
                <w:sz w:val="24"/>
              </w:rPr>
              <w:lastRenderedPageBreak/>
              <w:t>the domestic</w:t>
            </w:r>
            <w:r>
              <w:rPr>
                <w:sz w:val="24"/>
              </w:rPr>
              <w:t xml:space="preserve"> </w:t>
            </w:r>
            <w:r w:rsidRPr="0005250F">
              <w:rPr>
                <w:sz w:val="24"/>
              </w:rPr>
              <w:t xml:space="preserve">structural liquidity statement during the next day, 2-7 days, 8-14 days and </w:t>
            </w:r>
            <w:r w:rsidRPr="00E91EA8">
              <w:rPr>
                <w:color w:val="FF0000"/>
                <w:sz w:val="24"/>
              </w:rPr>
              <w:t>15-30</w:t>
            </w:r>
            <w:r w:rsidRPr="0005250F">
              <w:rPr>
                <w:sz w:val="24"/>
              </w:rPr>
              <w:t xml:space="preserve"> days bucket</w:t>
            </w:r>
          </w:p>
        </w:tc>
      </w:tr>
      <w:tr w:rsidR="00775645" w:rsidTr="004E23A1">
        <w:tc>
          <w:tcPr>
            <w:tcW w:w="745" w:type="dxa"/>
          </w:tcPr>
          <w:p w:rsidR="00775645" w:rsidRDefault="008F4EED" w:rsidP="00775645">
            <w:pPr>
              <w:pStyle w:val="NoSpacing"/>
              <w:rPr>
                <w:sz w:val="24"/>
              </w:rPr>
            </w:pPr>
            <w:r>
              <w:rPr>
                <w:sz w:val="24"/>
              </w:rPr>
              <w:lastRenderedPageBreak/>
              <w:t>8</w:t>
            </w:r>
          </w:p>
        </w:tc>
        <w:tc>
          <w:tcPr>
            <w:tcW w:w="847" w:type="dxa"/>
          </w:tcPr>
          <w:p w:rsidR="00775645" w:rsidRDefault="00775645" w:rsidP="00775645">
            <w:pPr>
              <w:pStyle w:val="NoSpacing"/>
              <w:rPr>
                <w:sz w:val="24"/>
              </w:rPr>
            </w:pPr>
            <w:r>
              <w:rPr>
                <w:sz w:val="24"/>
              </w:rPr>
              <w:t>232</w:t>
            </w:r>
          </w:p>
        </w:tc>
        <w:tc>
          <w:tcPr>
            <w:tcW w:w="4765" w:type="dxa"/>
          </w:tcPr>
          <w:p w:rsidR="00775645" w:rsidRDefault="00775645" w:rsidP="00775645">
            <w:pPr>
              <w:pStyle w:val="NoSpacing"/>
              <w:rPr>
                <w:sz w:val="24"/>
              </w:rPr>
            </w:pPr>
            <w:r w:rsidRPr="00715A16">
              <w:rPr>
                <w:sz w:val="24"/>
                <w:highlight w:val="yellow"/>
              </w:rPr>
              <w:t>Example – Facility</w:t>
            </w:r>
          </w:p>
          <w:p w:rsidR="00775645" w:rsidRPr="00361D37" w:rsidRDefault="00775645" w:rsidP="00775645">
            <w:pPr>
              <w:pStyle w:val="NoSpacing"/>
              <w:rPr>
                <w:sz w:val="24"/>
              </w:rPr>
            </w:pPr>
            <w:r>
              <w:rPr>
                <w:sz w:val="24"/>
              </w:rPr>
              <w:t>Bank Guarantee</w:t>
            </w:r>
          </w:p>
        </w:tc>
        <w:tc>
          <w:tcPr>
            <w:tcW w:w="4172" w:type="dxa"/>
          </w:tcPr>
          <w:p w:rsidR="00775645" w:rsidRDefault="00775645" w:rsidP="00775645">
            <w:pPr>
              <w:pStyle w:val="NoSpacing"/>
              <w:rPr>
                <w:sz w:val="24"/>
              </w:rPr>
            </w:pPr>
            <w:r w:rsidRPr="00715A16">
              <w:rPr>
                <w:sz w:val="24"/>
                <w:highlight w:val="yellow"/>
              </w:rPr>
              <w:t>Example – Facility</w:t>
            </w:r>
          </w:p>
          <w:p w:rsidR="00775645" w:rsidRPr="00361D37" w:rsidRDefault="00775645" w:rsidP="00775645">
            <w:pPr>
              <w:pStyle w:val="NoSpacing"/>
              <w:rPr>
                <w:sz w:val="24"/>
              </w:rPr>
            </w:pPr>
            <w:r w:rsidRPr="00775645">
              <w:rPr>
                <w:color w:val="FF0000"/>
                <w:sz w:val="24"/>
              </w:rPr>
              <w:t>Performance</w:t>
            </w:r>
            <w:r>
              <w:rPr>
                <w:sz w:val="24"/>
              </w:rPr>
              <w:t xml:space="preserve"> Bank Guarantee</w:t>
            </w:r>
          </w:p>
        </w:tc>
      </w:tr>
      <w:tr w:rsidR="00775645" w:rsidTr="004E23A1">
        <w:tc>
          <w:tcPr>
            <w:tcW w:w="745" w:type="dxa"/>
          </w:tcPr>
          <w:p w:rsidR="00775645" w:rsidRDefault="008F4EED" w:rsidP="00775645">
            <w:pPr>
              <w:pStyle w:val="NoSpacing"/>
              <w:rPr>
                <w:sz w:val="24"/>
              </w:rPr>
            </w:pPr>
            <w:r>
              <w:rPr>
                <w:sz w:val="24"/>
              </w:rPr>
              <w:t>9</w:t>
            </w:r>
          </w:p>
        </w:tc>
        <w:tc>
          <w:tcPr>
            <w:tcW w:w="847" w:type="dxa"/>
          </w:tcPr>
          <w:p w:rsidR="00775645" w:rsidRDefault="00775645" w:rsidP="00775645">
            <w:pPr>
              <w:pStyle w:val="NoSpacing"/>
              <w:rPr>
                <w:sz w:val="24"/>
              </w:rPr>
            </w:pPr>
            <w:r>
              <w:rPr>
                <w:sz w:val="24"/>
              </w:rPr>
              <w:t>233</w:t>
            </w:r>
          </w:p>
        </w:tc>
        <w:tc>
          <w:tcPr>
            <w:tcW w:w="4765" w:type="dxa"/>
          </w:tcPr>
          <w:p w:rsidR="00775645" w:rsidRDefault="00775645" w:rsidP="00775645">
            <w:pPr>
              <w:pStyle w:val="NoSpacing"/>
              <w:rPr>
                <w:sz w:val="24"/>
              </w:rPr>
            </w:pPr>
            <w:r w:rsidRPr="00715A16">
              <w:rPr>
                <w:sz w:val="24"/>
                <w:highlight w:val="yellow"/>
              </w:rPr>
              <w:t>Example – Solution</w:t>
            </w:r>
            <w:r w:rsidR="007844F6" w:rsidRPr="00715A16">
              <w:rPr>
                <w:sz w:val="24"/>
                <w:highlight w:val="yellow"/>
              </w:rPr>
              <w:t xml:space="preserve"> – Funded Exposure</w:t>
            </w:r>
          </w:p>
          <w:p w:rsidR="00775645" w:rsidRDefault="007844F6" w:rsidP="007844F6">
            <w:pPr>
              <w:pStyle w:val="NoSpacing"/>
              <w:rPr>
                <w:sz w:val="24"/>
              </w:rPr>
            </w:pPr>
            <w:r>
              <w:rPr>
                <w:sz w:val="24"/>
              </w:rPr>
              <w:t xml:space="preserve">Cash Credit – </w:t>
            </w:r>
            <w:proofErr w:type="spellStart"/>
            <w:r>
              <w:rPr>
                <w:sz w:val="24"/>
              </w:rPr>
              <w:t>Rs</w:t>
            </w:r>
            <w:proofErr w:type="spellEnd"/>
            <w:r>
              <w:rPr>
                <w:sz w:val="24"/>
              </w:rPr>
              <w:t xml:space="preserve">. 0.80 </w:t>
            </w:r>
            <w:proofErr w:type="spellStart"/>
            <w:r>
              <w:rPr>
                <w:sz w:val="24"/>
              </w:rPr>
              <w:t>mln</w:t>
            </w:r>
            <w:proofErr w:type="spellEnd"/>
          </w:p>
          <w:p w:rsidR="00A2304F" w:rsidRDefault="00A2304F" w:rsidP="007844F6">
            <w:pPr>
              <w:pStyle w:val="NoSpacing"/>
              <w:rPr>
                <w:sz w:val="24"/>
              </w:rPr>
            </w:pPr>
          </w:p>
          <w:p w:rsidR="00A2304F" w:rsidRDefault="00A2304F" w:rsidP="007844F6">
            <w:pPr>
              <w:pStyle w:val="NoSpacing"/>
              <w:rPr>
                <w:sz w:val="24"/>
              </w:rPr>
            </w:pPr>
            <w:r>
              <w:rPr>
                <w:sz w:val="24"/>
              </w:rPr>
              <w:t xml:space="preserve">Total – </w:t>
            </w:r>
            <w:proofErr w:type="spellStart"/>
            <w:r>
              <w:rPr>
                <w:sz w:val="24"/>
              </w:rPr>
              <w:t>Rs</w:t>
            </w:r>
            <w:proofErr w:type="spellEnd"/>
            <w:r>
              <w:rPr>
                <w:sz w:val="24"/>
              </w:rPr>
              <w:t xml:space="preserve">. 67.30 </w:t>
            </w:r>
            <w:proofErr w:type="spellStart"/>
            <w:r>
              <w:rPr>
                <w:sz w:val="24"/>
              </w:rPr>
              <w:t>mln</w:t>
            </w:r>
            <w:proofErr w:type="spellEnd"/>
          </w:p>
          <w:p w:rsidR="00A2304F" w:rsidRPr="00361D37" w:rsidRDefault="00A2304F" w:rsidP="00A2304F">
            <w:pPr>
              <w:pStyle w:val="NoSpacing"/>
              <w:rPr>
                <w:sz w:val="24"/>
              </w:rPr>
            </w:pPr>
            <w:r w:rsidRPr="00A2304F">
              <w:rPr>
                <w:sz w:val="24"/>
              </w:rPr>
              <w:t xml:space="preserve">EAD of </w:t>
            </w:r>
            <w:proofErr w:type="spellStart"/>
            <w:r w:rsidRPr="00A2304F">
              <w:rPr>
                <w:sz w:val="24"/>
              </w:rPr>
              <w:t>Goodluck</w:t>
            </w:r>
            <w:proofErr w:type="spellEnd"/>
            <w:r w:rsidRPr="00A2304F">
              <w:rPr>
                <w:sz w:val="24"/>
              </w:rPr>
              <w:t xml:space="preserve"> Ltd as on 31.03.2021 is </w:t>
            </w:r>
            <w:proofErr w:type="spellStart"/>
            <w:r>
              <w:rPr>
                <w:sz w:val="24"/>
              </w:rPr>
              <w:t>Rs</w:t>
            </w:r>
            <w:proofErr w:type="spellEnd"/>
            <w:r>
              <w:rPr>
                <w:sz w:val="24"/>
              </w:rPr>
              <w:t>.</w:t>
            </w:r>
            <w:r w:rsidRPr="00A2304F">
              <w:rPr>
                <w:sz w:val="24"/>
              </w:rPr>
              <w:t xml:space="preserve"> 67.30 </w:t>
            </w:r>
            <w:proofErr w:type="spellStart"/>
            <w:r w:rsidRPr="00A2304F">
              <w:rPr>
                <w:sz w:val="24"/>
              </w:rPr>
              <w:t>mln</w:t>
            </w:r>
            <w:proofErr w:type="spellEnd"/>
          </w:p>
        </w:tc>
        <w:tc>
          <w:tcPr>
            <w:tcW w:w="4172" w:type="dxa"/>
          </w:tcPr>
          <w:p w:rsidR="007844F6" w:rsidRDefault="007844F6" w:rsidP="007844F6">
            <w:pPr>
              <w:pStyle w:val="NoSpacing"/>
              <w:rPr>
                <w:sz w:val="24"/>
              </w:rPr>
            </w:pPr>
            <w:r w:rsidRPr="00715A16">
              <w:rPr>
                <w:sz w:val="24"/>
                <w:highlight w:val="yellow"/>
              </w:rPr>
              <w:t>Example – Solution – Funded Exposure</w:t>
            </w:r>
          </w:p>
          <w:p w:rsidR="00775645" w:rsidRDefault="007844F6" w:rsidP="00775645">
            <w:pPr>
              <w:pStyle w:val="NoSpacing"/>
              <w:rPr>
                <w:sz w:val="24"/>
              </w:rPr>
            </w:pPr>
            <w:r>
              <w:rPr>
                <w:sz w:val="24"/>
              </w:rPr>
              <w:t xml:space="preserve">Cash Credit – </w:t>
            </w:r>
            <w:proofErr w:type="spellStart"/>
            <w:r>
              <w:rPr>
                <w:sz w:val="24"/>
              </w:rPr>
              <w:t>Rs</w:t>
            </w:r>
            <w:proofErr w:type="spellEnd"/>
            <w:r>
              <w:rPr>
                <w:sz w:val="24"/>
              </w:rPr>
              <w:t xml:space="preserve">. </w:t>
            </w:r>
            <w:r w:rsidRPr="00A2304F">
              <w:rPr>
                <w:color w:val="FF0000"/>
                <w:sz w:val="24"/>
              </w:rPr>
              <w:t xml:space="preserve">6.80 </w:t>
            </w:r>
            <w:proofErr w:type="spellStart"/>
            <w:r>
              <w:rPr>
                <w:sz w:val="24"/>
              </w:rPr>
              <w:t>mln</w:t>
            </w:r>
            <w:proofErr w:type="spellEnd"/>
          </w:p>
          <w:p w:rsidR="00A2304F" w:rsidRDefault="00A2304F" w:rsidP="00775645">
            <w:pPr>
              <w:pStyle w:val="NoSpacing"/>
              <w:rPr>
                <w:sz w:val="24"/>
              </w:rPr>
            </w:pPr>
            <w:r>
              <w:rPr>
                <w:sz w:val="24"/>
              </w:rPr>
              <w:t xml:space="preserve">Total – </w:t>
            </w:r>
            <w:proofErr w:type="spellStart"/>
            <w:r>
              <w:rPr>
                <w:sz w:val="24"/>
              </w:rPr>
              <w:t>Rs</w:t>
            </w:r>
            <w:proofErr w:type="spellEnd"/>
            <w:r>
              <w:rPr>
                <w:sz w:val="24"/>
              </w:rPr>
              <w:t xml:space="preserve">. </w:t>
            </w:r>
            <w:r w:rsidRPr="00A2304F">
              <w:rPr>
                <w:color w:val="FF0000"/>
                <w:sz w:val="24"/>
              </w:rPr>
              <w:t xml:space="preserve">73.30 </w:t>
            </w:r>
            <w:proofErr w:type="spellStart"/>
            <w:r>
              <w:rPr>
                <w:sz w:val="24"/>
              </w:rPr>
              <w:t>mln</w:t>
            </w:r>
            <w:proofErr w:type="spellEnd"/>
          </w:p>
          <w:p w:rsidR="00A2304F" w:rsidRPr="00361D37" w:rsidRDefault="00A2304F" w:rsidP="00A2304F">
            <w:pPr>
              <w:pStyle w:val="NoSpacing"/>
              <w:rPr>
                <w:sz w:val="24"/>
              </w:rPr>
            </w:pPr>
            <w:r w:rsidRPr="00A2304F">
              <w:rPr>
                <w:sz w:val="24"/>
              </w:rPr>
              <w:t xml:space="preserve">EAD of </w:t>
            </w:r>
            <w:proofErr w:type="spellStart"/>
            <w:r w:rsidRPr="00A2304F">
              <w:rPr>
                <w:sz w:val="24"/>
              </w:rPr>
              <w:t>Goodluck</w:t>
            </w:r>
            <w:proofErr w:type="spellEnd"/>
            <w:r w:rsidRPr="00A2304F">
              <w:rPr>
                <w:sz w:val="24"/>
              </w:rPr>
              <w:t xml:space="preserve"> Ltd as on 31.03.2021 is </w:t>
            </w:r>
            <w:proofErr w:type="spellStart"/>
            <w:r>
              <w:rPr>
                <w:sz w:val="24"/>
              </w:rPr>
              <w:t>Rs</w:t>
            </w:r>
            <w:proofErr w:type="spellEnd"/>
            <w:r>
              <w:rPr>
                <w:sz w:val="24"/>
              </w:rPr>
              <w:t>.</w:t>
            </w:r>
            <w:r w:rsidRPr="00A2304F">
              <w:rPr>
                <w:sz w:val="24"/>
              </w:rPr>
              <w:t xml:space="preserve"> </w:t>
            </w:r>
            <w:r w:rsidRPr="00A2304F">
              <w:rPr>
                <w:color w:val="FF0000"/>
                <w:sz w:val="24"/>
              </w:rPr>
              <w:t xml:space="preserve">73.30 </w:t>
            </w:r>
            <w:proofErr w:type="spellStart"/>
            <w:r w:rsidRPr="00A2304F">
              <w:rPr>
                <w:sz w:val="24"/>
              </w:rPr>
              <w:t>mln</w:t>
            </w:r>
            <w:proofErr w:type="spellEnd"/>
          </w:p>
        </w:tc>
      </w:tr>
      <w:tr w:rsidR="00775645" w:rsidTr="004E23A1">
        <w:tc>
          <w:tcPr>
            <w:tcW w:w="745" w:type="dxa"/>
          </w:tcPr>
          <w:p w:rsidR="00775645" w:rsidRPr="00F26EA0" w:rsidRDefault="008F4EED" w:rsidP="00775645">
            <w:pPr>
              <w:pStyle w:val="NoSpacing"/>
              <w:rPr>
                <w:sz w:val="24"/>
              </w:rPr>
            </w:pPr>
            <w:r>
              <w:rPr>
                <w:sz w:val="24"/>
              </w:rPr>
              <w:t>10</w:t>
            </w:r>
          </w:p>
        </w:tc>
        <w:tc>
          <w:tcPr>
            <w:tcW w:w="847" w:type="dxa"/>
          </w:tcPr>
          <w:p w:rsidR="00775645" w:rsidRPr="00F26EA0" w:rsidRDefault="00775645" w:rsidP="00775645">
            <w:pPr>
              <w:pStyle w:val="NoSpacing"/>
              <w:rPr>
                <w:sz w:val="24"/>
              </w:rPr>
            </w:pPr>
            <w:r>
              <w:rPr>
                <w:sz w:val="24"/>
              </w:rPr>
              <w:t>415</w:t>
            </w:r>
          </w:p>
        </w:tc>
        <w:tc>
          <w:tcPr>
            <w:tcW w:w="4765" w:type="dxa"/>
          </w:tcPr>
          <w:p w:rsidR="00775645" w:rsidRPr="00361D37" w:rsidRDefault="00775645" w:rsidP="00775645">
            <w:pPr>
              <w:pStyle w:val="NoSpacing"/>
              <w:rPr>
                <w:sz w:val="24"/>
              </w:rPr>
            </w:pPr>
            <w:r w:rsidRPr="00361D37">
              <w:rPr>
                <w:sz w:val="24"/>
              </w:rPr>
              <w:t>The implementation of these principles should be commensurate with the size, complexity, structure,</w:t>
            </w:r>
          </w:p>
          <w:p w:rsidR="00775645" w:rsidRPr="00F26EA0" w:rsidRDefault="00775645" w:rsidP="00775645">
            <w:pPr>
              <w:pStyle w:val="NoSpacing"/>
              <w:rPr>
                <w:sz w:val="24"/>
              </w:rPr>
            </w:pPr>
            <w:r w:rsidRPr="00361D37">
              <w:rPr>
                <w:sz w:val="24"/>
              </w:rPr>
              <w:t>economic significance and risk profile of the bank.</w:t>
            </w:r>
          </w:p>
        </w:tc>
        <w:tc>
          <w:tcPr>
            <w:tcW w:w="4172" w:type="dxa"/>
          </w:tcPr>
          <w:p w:rsidR="00775645" w:rsidRPr="00361D37" w:rsidRDefault="00775645" w:rsidP="00775645">
            <w:pPr>
              <w:pStyle w:val="NoSpacing"/>
              <w:rPr>
                <w:sz w:val="24"/>
              </w:rPr>
            </w:pPr>
            <w:r w:rsidRPr="00361D37">
              <w:rPr>
                <w:sz w:val="24"/>
              </w:rPr>
              <w:t>The implementation of these principles should be commensurate with the size, complexity, structure,</w:t>
            </w:r>
          </w:p>
          <w:p w:rsidR="00775645" w:rsidRDefault="00775645" w:rsidP="00775645">
            <w:pPr>
              <w:pStyle w:val="NoSpacing"/>
              <w:rPr>
                <w:sz w:val="24"/>
              </w:rPr>
            </w:pPr>
            <w:r w:rsidRPr="00361D37">
              <w:rPr>
                <w:sz w:val="24"/>
              </w:rPr>
              <w:t>economic significance and risk profile of the bank.</w:t>
            </w:r>
          </w:p>
          <w:p w:rsidR="00775645" w:rsidRDefault="00775645" w:rsidP="00775645">
            <w:pPr>
              <w:pStyle w:val="NoSpacing"/>
              <w:rPr>
                <w:sz w:val="24"/>
              </w:rPr>
            </w:pPr>
          </w:p>
          <w:p w:rsidR="00775645" w:rsidRPr="00F26EA0" w:rsidRDefault="00775645" w:rsidP="00775645">
            <w:pPr>
              <w:pStyle w:val="NoSpacing"/>
              <w:rPr>
                <w:sz w:val="24"/>
              </w:rPr>
            </w:pPr>
            <w:r w:rsidRPr="00361D37">
              <w:rPr>
                <w:color w:val="FF0000"/>
                <w:sz w:val="24"/>
              </w:rPr>
              <w:t>In this connection, it is important to go through the Discussion paper on Governance in Commercial Banks in India, released by Reserve Bank of India on June 11, 2020. The key points of the paper are summarised / produced here:</w:t>
            </w:r>
          </w:p>
        </w:tc>
      </w:tr>
      <w:tr w:rsidR="00775645" w:rsidTr="004E23A1">
        <w:tc>
          <w:tcPr>
            <w:tcW w:w="745" w:type="dxa"/>
          </w:tcPr>
          <w:p w:rsidR="00775645" w:rsidRPr="00F26EA0" w:rsidRDefault="008F4EED" w:rsidP="00775645">
            <w:pPr>
              <w:pStyle w:val="NoSpacing"/>
              <w:rPr>
                <w:sz w:val="24"/>
              </w:rPr>
            </w:pPr>
            <w:r>
              <w:rPr>
                <w:sz w:val="24"/>
              </w:rPr>
              <w:t>11</w:t>
            </w:r>
          </w:p>
        </w:tc>
        <w:tc>
          <w:tcPr>
            <w:tcW w:w="847" w:type="dxa"/>
          </w:tcPr>
          <w:p w:rsidR="00775645" w:rsidRPr="00F26EA0" w:rsidRDefault="00775645" w:rsidP="00775645">
            <w:pPr>
              <w:pStyle w:val="NoSpacing"/>
              <w:rPr>
                <w:sz w:val="24"/>
              </w:rPr>
            </w:pPr>
            <w:r>
              <w:rPr>
                <w:sz w:val="24"/>
              </w:rPr>
              <w:t>430</w:t>
            </w:r>
          </w:p>
        </w:tc>
        <w:tc>
          <w:tcPr>
            <w:tcW w:w="4765" w:type="dxa"/>
          </w:tcPr>
          <w:p w:rsidR="00775645" w:rsidRPr="00361D37" w:rsidRDefault="00775645" w:rsidP="00775645">
            <w:pPr>
              <w:pStyle w:val="NoSpacing"/>
              <w:rPr>
                <w:sz w:val="24"/>
              </w:rPr>
            </w:pPr>
            <w:r w:rsidRPr="00361D37">
              <w:rPr>
                <w:sz w:val="24"/>
              </w:rPr>
              <w:t>xi. put in place approval process for all new processes and products by the compliance function</w:t>
            </w:r>
          </w:p>
          <w:p w:rsidR="00775645" w:rsidRPr="00361D37" w:rsidRDefault="00775645" w:rsidP="00775645">
            <w:pPr>
              <w:pStyle w:val="NoSpacing"/>
              <w:rPr>
                <w:sz w:val="24"/>
              </w:rPr>
            </w:pPr>
            <w:r w:rsidRPr="00361D37">
              <w:rPr>
                <w:sz w:val="24"/>
              </w:rPr>
              <w:t>prior to introduction; 279 DBS.CO.PP.BC.6/11.01.005/2006-07 dated April 20, 2007 on</w:t>
            </w:r>
          </w:p>
          <w:p w:rsidR="00775645" w:rsidRPr="00361D37" w:rsidRDefault="00775645" w:rsidP="00775645">
            <w:pPr>
              <w:pStyle w:val="NoSpacing"/>
              <w:rPr>
                <w:sz w:val="24"/>
              </w:rPr>
            </w:pPr>
            <w:r w:rsidRPr="00361D37">
              <w:rPr>
                <w:sz w:val="24"/>
              </w:rPr>
              <w:t xml:space="preserve">compliance functions; with modifications </w:t>
            </w:r>
            <w:proofErr w:type="spellStart"/>
            <w:r w:rsidRPr="00361D37">
              <w:rPr>
                <w:sz w:val="24"/>
              </w:rPr>
              <w:t>modeled</w:t>
            </w:r>
            <w:proofErr w:type="spellEnd"/>
            <w:r w:rsidRPr="00361D37">
              <w:rPr>
                <w:sz w:val="24"/>
              </w:rPr>
              <w:t xml:space="preserve"> on similar principles for Risk Management</w:t>
            </w:r>
          </w:p>
          <w:p w:rsidR="00775645" w:rsidRPr="00F26EA0" w:rsidRDefault="00775645" w:rsidP="00775645">
            <w:pPr>
              <w:pStyle w:val="NoSpacing"/>
              <w:rPr>
                <w:sz w:val="24"/>
              </w:rPr>
            </w:pPr>
            <w:r w:rsidRPr="00361D37">
              <w:rPr>
                <w:sz w:val="24"/>
              </w:rPr>
              <w:t>function Discussion paper on Governance in Commercial Banks in India 61</w:t>
            </w:r>
          </w:p>
        </w:tc>
        <w:tc>
          <w:tcPr>
            <w:tcW w:w="4172" w:type="dxa"/>
          </w:tcPr>
          <w:p w:rsidR="00775645" w:rsidRPr="00097C38" w:rsidRDefault="00775645" w:rsidP="00775645">
            <w:pPr>
              <w:pStyle w:val="NoSpacing"/>
              <w:rPr>
                <w:color w:val="FF0000"/>
                <w:sz w:val="24"/>
              </w:rPr>
            </w:pPr>
            <w:r w:rsidRPr="00361D37">
              <w:rPr>
                <w:sz w:val="24"/>
              </w:rPr>
              <w:t xml:space="preserve">xi. </w:t>
            </w:r>
            <w:r w:rsidRPr="00097C38">
              <w:rPr>
                <w:color w:val="FF0000"/>
                <w:sz w:val="24"/>
              </w:rPr>
              <w:t>put in place approval process for all new processes and products by the compliance function</w:t>
            </w:r>
          </w:p>
          <w:p w:rsidR="00775645" w:rsidRPr="00097C38" w:rsidRDefault="00775645" w:rsidP="00775645">
            <w:pPr>
              <w:pStyle w:val="NoSpacing"/>
              <w:rPr>
                <w:color w:val="FF0000"/>
                <w:sz w:val="24"/>
              </w:rPr>
            </w:pPr>
            <w:r w:rsidRPr="00097C38">
              <w:rPr>
                <w:color w:val="FF0000"/>
                <w:sz w:val="24"/>
              </w:rPr>
              <w:t xml:space="preserve">prior to introduction; </w:t>
            </w:r>
          </w:p>
          <w:p w:rsidR="00775645" w:rsidRPr="00F26EA0" w:rsidRDefault="00775645" w:rsidP="00775645">
            <w:pPr>
              <w:pStyle w:val="NoSpacing"/>
              <w:rPr>
                <w:sz w:val="24"/>
              </w:rPr>
            </w:pPr>
          </w:p>
        </w:tc>
      </w:tr>
      <w:tr w:rsidR="00775645" w:rsidTr="004E23A1">
        <w:tc>
          <w:tcPr>
            <w:tcW w:w="745" w:type="dxa"/>
          </w:tcPr>
          <w:p w:rsidR="00775645" w:rsidRPr="00F26EA0" w:rsidRDefault="00097C38" w:rsidP="00775645">
            <w:pPr>
              <w:pStyle w:val="NoSpacing"/>
              <w:rPr>
                <w:sz w:val="24"/>
              </w:rPr>
            </w:pPr>
            <w:r>
              <w:rPr>
                <w:sz w:val="24"/>
              </w:rPr>
              <w:t>12</w:t>
            </w:r>
          </w:p>
        </w:tc>
        <w:tc>
          <w:tcPr>
            <w:tcW w:w="847" w:type="dxa"/>
          </w:tcPr>
          <w:p w:rsidR="00775645" w:rsidRPr="00F26EA0" w:rsidRDefault="00775645" w:rsidP="00775645">
            <w:pPr>
              <w:pStyle w:val="NoSpacing"/>
              <w:rPr>
                <w:sz w:val="24"/>
              </w:rPr>
            </w:pPr>
            <w:r>
              <w:rPr>
                <w:sz w:val="24"/>
              </w:rPr>
              <w:t>434</w:t>
            </w:r>
          </w:p>
        </w:tc>
        <w:tc>
          <w:tcPr>
            <w:tcW w:w="4765" w:type="dxa"/>
          </w:tcPr>
          <w:p w:rsidR="00775645" w:rsidRPr="00496D65" w:rsidRDefault="00775645" w:rsidP="00775645">
            <w:pPr>
              <w:pStyle w:val="NoSpacing"/>
              <w:rPr>
                <w:sz w:val="24"/>
              </w:rPr>
            </w:pPr>
            <w:r w:rsidRPr="00496D65">
              <w:rPr>
                <w:sz w:val="24"/>
              </w:rPr>
              <w:t>xvii. employees shall be trained/retrained on function/desk specific standard operating procedures,</w:t>
            </w:r>
          </w:p>
          <w:p w:rsidR="00775645" w:rsidRPr="00496D65" w:rsidRDefault="00775645" w:rsidP="00775645">
            <w:pPr>
              <w:pStyle w:val="NoSpacing"/>
              <w:rPr>
                <w:sz w:val="24"/>
              </w:rPr>
            </w:pPr>
            <w:r w:rsidRPr="00496D65">
              <w:rPr>
                <w:sz w:val="24"/>
              </w:rPr>
              <w:t>processes through e-learning modules, contents of which are prepared based on policy,</w:t>
            </w:r>
          </w:p>
          <w:p w:rsidR="00775645" w:rsidRPr="00496D65" w:rsidRDefault="00775645" w:rsidP="00775645">
            <w:pPr>
              <w:pStyle w:val="NoSpacing"/>
              <w:rPr>
                <w:sz w:val="24"/>
              </w:rPr>
            </w:pPr>
            <w:r w:rsidRPr="00496D65">
              <w:rPr>
                <w:sz w:val="24"/>
              </w:rPr>
              <w:t>processes, manuals and the concerned employee is required to complete the same successfully</w:t>
            </w:r>
          </w:p>
          <w:p w:rsidR="00775645" w:rsidRPr="00496D65" w:rsidRDefault="00775645" w:rsidP="00775645">
            <w:pPr>
              <w:pStyle w:val="NoSpacing"/>
              <w:rPr>
                <w:sz w:val="24"/>
              </w:rPr>
            </w:pPr>
            <w:r w:rsidRPr="00496D65">
              <w:rPr>
                <w:sz w:val="24"/>
              </w:rPr>
              <w:t>before taking up the assigned function/job; Discussion paper on Governance in Commercial</w:t>
            </w:r>
          </w:p>
          <w:p w:rsidR="00775645" w:rsidRPr="00F26EA0" w:rsidRDefault="00775645" w:rsidP="00775645">
            <w:pPr>
              <w:pStyle w:val="NoSpacing"/>
              <w:rPr>
                <w:sz w:val="24"/>
              </w:rPr>
            </w:pPr>
            <w:r w:rsidRPr="00496D65">
              <w:rPr>
                <w:sz w:val="24"/>
              </w:rPr>
              <w:t>Banks in India</w:t>
            </w:r>
          </w:p>
        </w:tc>
        <w:tc>
          <w:tcPr>
            <w:tcW w:w="4172" w:type="dxa"/>
          </w:tcPr>
          <w:p w:rsidR="00775645" w:rsidRPr="00097C38" w:rsidRDefault="00775645" w:rsidP="00775645">
            <w:pPr>
              <w:pStyle w:val="NoSpacing"/>
              <w:rPr>
                <w:color w:val="FF0000"/>
                <w:sz w:val="24"/>
              </w:rPr>
            </w:pPr>
            <w:r w:rsidRPr="00097C38">
              <w:rPr>
                <w:color w:val="FF0000"/>
                <w:sz w:val="24"/>
              </w:rPr>
              <w:t>xvii. employees shall be trained/retrained on function/desk specific standard operating procedures,</w:t>
            </w:r>
          </w:p>
          <w:p w:rsidR="00775645" w:rsidRPr="00097C38" w:rsidRDefault="00775645" w:rsidP="00775645">
            <w:pPr>
              <w:pStyle w:val="NoSpacing"/>
              <w:rPr>
                <w:color w:val="FF0000"/>
                <w:sz w:val="24"/>
              </w:rPr>
            </w:pPr>
            <w:r w:rsidRPr="00097C38">
              <w:rPr>
                <w:color w:val="FF0000"/>
                <w:sz w:val="24"/>
              </w:rPr>
              <w:t>processes through e-learning modules, contents of which are prepared based on policy,</w:t>
            </w:r>
          </w:p>
          <w:p w:rsidR="00775645" w:rsidRPr="00097C38" w:rsidRDefault="00775645" w:rsidP="00775645">
            <w:pPr>
              <w:pStyle w:val="NoSpacing"/>
              <w:rPr>
                <w:color w:val="FF0000"/>
                <w:sz w:val="24"/>
              </w:rPr>
            </w:pPr>
            <w:r w:rsidRPr="00097C38">
              <w:rPr>
                <w:color w:val="FF0000"/>
                <w:sz w:val="24"/>
              </w:rPr>
              <w:t>processes, manuals and the concerned employee is required to complete the same successfully</w:t>
            </w:r>
          </w:p>
          <w:p w:rsidR="00775645" w:rsidRPr="00F26EA0" w:rsidRDefault="00775645" w:rsidP="00775645">
            <w:pPr>
              <w:pStyle w:val="NoSpacing"/>
              <w:rPr>
                <w:sz w:val="24"/>
              </w:rPr>
            </w:pPr>
            <w:r w:rsidRPr="00097C38">
              <w:rPr>
                <w:color w:val="FF0000"/>
                <w:sz w:val="24"/>
              </w:rPr>
              <w:t xml:space="preserve">before taking up the assigned function/job; </w:t>
            </w:r>
          </w:p>
          <w:p w:rsidR="00775645" w:rsidRPr="00F26EA0" w:rsidRDefault="00775645" w:rsidP="00775645">
            <w:pPr>
              <w:pStyle w:val="NoSpacing"/>
              <w:rPr>
                <w:sz w:val="24"/>
              </w:rPr>
            </w:pPr>
          </w:p>
        </w:tc>
      </w:tr>
      <w:tr w:rsidR="00775645" w:rsidTr="004E23A1">
        <w:tc>
          <w:tcPr>
            <w:tcW w:w="745" w:type="dxa"/>
          </w:tcPr>
          <w:p w:rsidR="00775645" w:rsidRPr="00F26EA0" w:rsidRDefault="00097C38" w:rsidP="00775645">
            <w:pPr>
              <w:pStyle w:val="NoSpacing"/>
              <w:rPr>
                <w:sz w:val="24"/>
              </w:rPr>
            </w:pPr>
            <w:r>
              <w:rPr>
                <w:sz w:val="24"/>
              </w:rPr>
              <w:t>13</w:t>
            </w:r>
          </w:p>
        </w:tc>
        <w:tc>
          <w:tcPr>
            <w:tcW w:w="847" w:type="dxa"/>
          </w:tcPr>
          <w:p w:rsidR="00775645" w:rsidRPr="00F26EA0" w:rsidRDefault="00775645" w:rsidP="00775645">
            <w:pPr>
              <w:pStyle w:val="NoSpacing"/>
              <w:rPr>
                <w:sz w:val="24"/>
              </w:rPr>
            </w:pPr>
            <w:r>
              <w:rPr>
                <w:sz w:val="24"/>
              </w:rPr>
              <w:t>435</w:t>
            </w:r>
          </w:p>
        </w:tc>
        <w:tc>
          <w:tcPr>
            <w:tcW w:w="4765" w:type="dxa"/>
          </w:tcPr>
          <w:p w:rsidR="00775645" w:rsidRPr="00496D65" w:rsidRDefault="00775645" w:rsidP="00775645">
            <w:pPr>
              <w:pStyle w:val="NoSpacing"/>
              <w:rPr>
                <w:sz w:val="24"/>
              </w:rPr>
            </w:pPr>
            <w:r w:rsidRPr="00496D65">
              <w:rPr>
                <w:sz w:val="24"/>
              </w:rPr>
              <w:t xml:space="preserve">6. Incorporating all the above requirements at a minimum, the board of the bank, through </w:t>
            </w:r>
            <w:r w:rsidRPr="00496D65">
              <w:rPr>
                <w:sz w:val="24"/>
              </w:rPr>
              <w:lastRenderedPageBreak/>
              <w:t>the ACB,</w:t>
            </w:r>
            <w:r w:rsidR="00097C38">
              <w:rPr>
                <w:sz w:val="24"/>
              </w:rPr>
              <w:t xml:space="preserve"> </w:t>
            </w:r>
            <w:r w:rsidRPr="00496D65">
              <w:rPr>
                <w:sz w:val="24"/>
              </w:rPr>
              <w:t>is responsible for establishing an internal vigilance policy. This policy inter alia shall contain the</w:t>
            </w:r>
            <w:r w:rsidR="00097C38">
              <w:rPr>
                <w:sz w:val="24"/>
              </w:rPr>
              <w:t xml:space="preserve"> </w:t>
            </w:r>
            <w:r w:rsidRPr="00496D65">
              <w:rPr>
                <w:sz w:val="24"/>
              </w:rPr>
              <w:t xml:space="preserve">basic principles as well as explain the main processes by which </w:t>
            </w:r>
            <w:r w:rsidR="00097C38">
              <w:rPr>
                <w:sz w:val="24"/>
              </w:rPr>
              <w:t>p</w:t>
            </w:r>
            <w:r w:rsidRPr="00496D65">
              <w:rPr>
                <w:sz w:val="24"/>
              </w:rPr>
              <w:t>reventive vigilance, surveillance/</w:t>
            </w:r>
          </w:p>
          <w:p w:rsidR="00775645" w:rsidRPr="00496D65" w:rsidRDefault="00775645" w:rsidP="00775645">
            <w:pPr>
              <w:pStyle w:val="NoSpacing"/>
              <w:rPr>
                <w:sz w:val="24"/>
              </w:rPr>
            </w:pPr>
            <w:r w:rsidRPr="00496D65">
              <w:rPr>
                <w:sz w:val="24"/>
              </w:rPr>
              <w:t>detection and punitive vigilance is to be practiced. Added fo</w:t>
            </w:r>
            <w:r w:rsidR="00097C38">
              <w:rPr>
                <w:sz w:val="24"/>
              </w:rPr>
              <w:t>r emphasis and clarity</w:t>
            </w:r>
          </w:p>
          <w:p w:rsidR="00775645" w:rsidRPr="00496D65" w:rsidRDefault="00775645" w:rsidP="00775645">
            <w:pPr>
              <w:pStyle w:val="NoSpacing"/>
              <w:rPr>
                <w:sz w:val="24"/>
              </w:rPr>
            </w:pPr>
            <w:r w:rsidRPr="00496D65">
              <w:rPr>
                <w:sz w:val="24"/>
              </w:rPr>
              <w:t>emphasis and clarity Added for emphasis and clarity</w:t>
            </w:r>
            <w:r w:rsidR="00097C38">
              <w:rPr>
                <w:sz w:val="24"/>
              </w:rPr>
              <w:t>,</w:t>
            </w:r>
            <w:r w:rsidRPr="00496D65">
              <w:rPr>
                <w:sz w:val="24"/>
              </w:rPr>
              <w:t xml:space="preserve"> Discussion paper on Governance in</w:t>
            </w:r>
          </w:p>
          <w:p w:rsidR="00775645" w:rsidRPr="00F26EA0" w:rsidRDefault="00775645" w:rsidP="00775645">
            <w:pPr>
              <w:pStyle w:val="NoSpacing"/>
              <w:rPr>
                <w:sz w:val="24"/>
              </w:rPr>
            </w:pPr>
            <w:r w:rsidRPr="00496D65">
              <w:rPr>
                <w:sz w:val="24"/>
              </w:rPr>
              <w:t>Commercial Banks in India.</w:t>
            </w:r>
          </w:p>
        </w:tc>
        <w:tc>
          <w:tcPr>
            <w:tcW w:w="4172" w:type="dxa"/>
          </w:tcPr>
          <w:p w:rsidR="00775645" w:rsidRPr="00097C38" w:rsidRDefault="00775645" w:rsidP="00775645">
            <w:pPr>
              <w:pStyle w:val="NoSpacing"/>
              <w:rPr>
                <w:color w:val="FF0000"/>
                <w:sz w:val="24"/>
              </w:rPr>
            </w:pPr>
            <w:r w:rsidRPr="00097C38">
              <w:rPr>
                <w:color w:val="FF0000"/>
                <w:sz w:val="24"/>
              </w:rPr>
              <w:lastRenderedPageBreak/>
              <w:t xml:space="preserve">6. Incorporating all the above requirements at a minimum, the board </w:t>
            </w:r>
            <w:r w:rsidRPr="00097C38">
              <w:rPr>
                <w:color w:val="FF0000"/>
                <w:sz w:val="24"/>
              </w:rPr>
              <w:lastRenderedPageBreak/>
              <w:t>of the bank, through the ACB,</w:t>
            </w:r>
            <w:r w:rsidR="00097C38" w:rsidRPr="00097C38">
              <w:rPr>
                <w:color w:val="FF0000"/>
                <w:sz w:val="24"/>
              </w:rPr>
              <w:t xml:space="preserve"> </w:t>
            </w:r>
            <w:r w:rsidRPr="00097C38">
              <w:rPr>
                <w:color w:val="FF0000"/>
                <w:sz w:val="24"/>
              </w:rPr>
              <w:t>is responsible for establishing an internal vigilance policy. This policy inter alia shall contain the</w:t>
            </w:r>
            <w:r w:rsidR="00097C38" w:rsidRPr="00097C38">
              <w:rPr>
                <w:color w:val="FF0000"/>
                <w:sz w:val="24"/>
              </w:rPr>
              <w:t xml:space="preserve"> </w:t>
            </w:r>
            <w:r w:rsidRPr="00097C38">
              <w:rPr>
                <w:color w:val="FF0000"/>
                <w:sz w:val="24"/>
              </w:rPr>
              <w:t>basic principles as well as explain the main processes by which preventive vigilance, surveillance/</w:t>
            </w:r>
          </w:p>
          <w:p w:rsidR="00775645" w:rsidRPr="00097C38" w:rsidRDefault="00775645" w:rsidP="00775645">
            <w:pPr>
              <w:pStyle w:val="NoSpacing"/>
              <w:rPr>
                <w:color w:val="FF0000"/>
                <w:sz w:val="24"/>
              </w:rPr>
            </w:pPr>
            <w:r w:rsidRPr="00097C38">
              <w:rPr>
                <w:color w:val="FF0000"/>
                <w:sz w:val="24"/>
              </w:rPr>
              <w:t xml:space="preserve">detection and punitive vigilance is to be practiced. Added for emphasis and clarity </w:t>
            </w:r>
          </w:p>
          <w:p w:rsidR="00775645" w:rsidRPr="00F26EA0" w:rsidRDefault="00775645" w:rsidP="00775645">
            <w:pPr>
              <w:pStyle w:val="NoSpacing"/>
              <w:rPr>
                <w:sz w:val="24"/>
              </w:rPr>
            </w:pPr>
          </w:p>
        </w:tc>
      </w:tr>
      <w:tr w:rsidR="00A2304F" w:rsidTr="004E23A1">
        <w:tc>
          <w:tcPr>
            <w:tcW w:w="745" w:type="dxa"/>
          </w:tcPr>
          <w:p w:rsidR="00A2304F" w:rsidRDefault="00097C38" w:rsidP="00775645">
            <w:pPr>
              <w:pStyle w:val="NoSpacing"/>
              <w:rPr>
                <w:sz w:val="24"/>
              </w:rPr>
            </w:pPr>
            <w:r>
              <w:rPr>
                <w:sz w:val="24"/>
              </w:rPr>
              <w:lastRenderedPageBreak/>
              <w:t>14</w:t>
            </w:r>
          </w:p>
        </w:tc>
        <w:tc>
          <w:tcPr>
            <w:tcW w:w="847" w:type="dxa"/>
          </w:tcPr>
          <w:p w:rsidR="00A2304F" w:rsidRDefault="00A2304F" w:rsidP="00775645">
            <w:pPr>
              <w:pStyle w:val="NoSpacing"/>
              <w:rPr>
                <w:sz w:val="24"/>
              </w:rPr>
            </w:pPr>
            <w:r>
              <w:rPr>
                <w:sz w:val="24"/>
              </w:rPr>
              <w:t>500</w:t>
            </w:r>
          </w:p>
        </w:tc>
        <w:tc>
          <w:tcPr>
            <w:tcW w:w="4765" w:type="dxa"/>
          </w:tcPr>
          <w:p w:rsidR="00A2304F" w:rsidRPr="00F26EA0" w:rsidRDefault="00A2304F" w:rsidP="00775645">
            <w:pPr>
              <w:pStyle w:val="NoSpacing"/>
              <w:rPr>
                <w:sz w:val="24"/>
              </w:rPr>
            </w:pPr>
            <w:r w:rsidRPr="00A2304F">
              <w:rPr>
                <w:sz w:val="24"/>
              </w:rPr>
              <w:t>Additional Tier – I capital is equal to Tier I but not Tier -I.</w:t>
            </w:r>
          </w:p>
        </w:tc>
        <w:tc>
          <w:tcPr>
            <w:tcW w:w="4172" w:type="dxa"/>
          </w:tcPr>
          <w:p w:rsidR="00A2304F" w:rsidRDefault="00A2304F" w:rsidP="00775645">
            <w:pPr>
              <w:pStyle w:val="NoSpacing"/>
              <w:rPr>
                <w:sz w:val="24"/>
              </w:rPr>
            </w:pPr>
            <w:r w:rsidRPr="00097C38">
              <w:rPr>
                <w:sz w:val="24"/>
                <w:highlight w:val="yellow"/>
              </w:rPr>
              <w:t>Deleted</w:t>
            </w:r>
          </w:p>
        </w:tc>
      </w:tr>
      <w:tr w:rsidR="00A2304F" w:rsidTr="004E23A1">
        <w:tc>
          <w:tcPr>
            <w:tcW w:w="745" w:type="dxa"/>
          </w:tcPr>
          <w:p w:rsidR="00A2304F" w:rsidRDefault="00097C38" w:rsidP="00775645">
            <w:pPr>
              <w:pStyle w:val="NoSpacing"/>
              <w:rPr>
                <w:sz w:val="24"/>
              </w:rPr>
            </w:pPr>
            <w:r>
              <w:rPr>
                <w:sz w:val="24"/>
              </w:rPr>
              <w:t>15</w:t>
            </w:r>
          </w:p>
        </w:tc>
        <w:tc>
          <w:tcPr>
            <w:tcW w:w="847" w:type="dxa"/>
          </w:tcPr>
          <w:p w:rsidR="00A2304F" w:rsidRDefault="00A2304F" w:rsidP="00775645">
            <w:pPr>
              <w:pStyle w:val="NoSpacing"/>
              <w:rPr>
                <w:sz w:val="24"/>
              </w:rPr>
            </w:pPr>
            <w:r>
              <w:rPr>
                <w:sz w:val="24"/>
              </w:rPr>
              <w:t>505</w:t>
            </w:r>
          </w:p>
        </w:tc>
        <w:tc>
          <w:tcPr>
            <w:tcW w:w="4765" w:type="dxa"/>
          </w:tcPr>
          <w:p w:rsidR="00A2304F" w:rsidRDefault="00A2304F" w:rsidP="00775645">
            <w:pPr>
              <w:pStyle w:val="NoSpacing"/>
              <w:rPr>
                <w:sz w:val="24"/>
              </w:rPr>
            </w:pPr>
            <w:r>
              <w:rPr>
                <w:sz w:val="24"/>
              </w:rPr>
              <w:t>Total eligible Additional Tier 1 Capital – 5000</w:t>
            </w:r>
          </w:p>
          <w:p w:rsidR="00A2304F" w:rsidRDefault="00A2304F" w:rsidP="00775645">
            <w:pPr>
              <w:pStyle w:val="NoSpacing"/>
              <w:rPr>
                <w:sz w:val="24"/>
              </w:rPr>
            </w:pPr>
          </w:p>
          <w:p w:rsidR="00A2304F" w:rsidRPr="00F26EA0" w:rsidRDefault="00A2304F" w:rsidP="00775645">
            <w:pPr>
              <w:pStyle w:val="NoSpacing"/>
              <w:rPr>
                <w:sz w:val="24"/>
              </w:rPr>
            </w:pPr>
            <w:r w:rsidRPr="00A2304F">
              <w:rPr>
                <w:sz w:val="24"/>
              </w:rPr>
              <w:t>Total eligible Tier 1 capital</w:t>
            </w:r>
            <w:r>
              <w:rPr>
                <w:sz w:val="24"/>
              </w:rPr>
              <w:t xml:space="preserve"> – 14400 + 5000 = 19400</w:t>
            </w:r>
          </w:p>
        </w:tc>
        <w:tc>
          <w:tcPr>
            <w:tcW w:w="4172" w:type="dxa"/>
          </w:tcPr>
          <w:p w:rsidR="00A2304F" w:rsidRDefault="00A2304F" w:rsidP="00775645">
            <w:pPr>
              <w:pStyle w:val="NoSpacing"/>
              <w:rPr>
                <w:sz w:val="24"/>
              </w:rPr>
            </w:pPr>
            <w:r w:rsidRPr="00FA21A6">
              <w:rPr>
                <w:color w:val="FF0000"/>
                <w:sz w:val="24"/>
              </w:rPr>
              <w:t>Max. eligible Additional Tier 1 capital = 1.5% of 185000 = 2775</w:t>
            </w:r>
          </w:p>
          <w:p w:rsidR="00A2304F" w:rsidRDefault="00A2304F" w:rsidP="00775645">
            <w:pPr>
              <w:pStyle w:val="NoSpacing"/>
              <w:rPr>
                <w:sz w:val="24"/>
              </w:rPr>
            </w:pPr>
          </w:p>
          <w:p w:rsidR="00A2304F" w:rsidRDefault="00A2304F" w:rsidP="00775645">
            <w:pPr>
              <w:pStyle w:val="NoSpacing"/>
              <w:rPr>
                <w:sz w:val="24"/>
              </w:rPr>
            </w:pPr>
            <w:r w:rsidRPr="00A2304F">
              <w:rPr>
                <w:sz w:val="24"/>
              </w:rPr>
              <w:t>Total eligible Tier 1 capital</w:t>
            </w:r>
            <w:r>
              <w:rPr>
                <w:sz w:val="24"/>
              </w:rPr>
              <w:t xml:space="preserve"> – 14400 + </w:t>
            </w:r>
            <w:r w:rsidRPr="00FA21A6">
              <w:rPr>
                <w:color w:val="FF0000"/>
                <w:sz w:val="24"/>
              </w:rPr>
              <w:t>2775 = 17175</w:t>
            </w:r>
          </w:p>
        </w:tc>
      </w:tr>
      <w:tr w:rsidR="00FA21A6" w:rsidTr="004E23A1">
        <w:tc>
          <w:tcPr>
            <w:tcW w:w="745" w:type="dxa"/>
          </w:tcPr>
          <w:p w:rsidR="00FA21A6" w:rsidRDefault="00097C38" w:rsidP="00775645">
            <w:pPr>
              <w:pStyle w:val="NoSpacing"/>
              <w:rPr>
                <w:sz w:val="24"/>
              </w:rPr>
            </w:pPr>
            <w:r>
              <w:rPr>
                <w:sz w:val="24"/>
              </w:rPr>
              <w:t>16</w:t>
            </w:r>
          </w:p>
        </w:tc>
        <w:tc>
          <w:tcPr>
            <w:tcW w:w="847" w:type="dxa"/>
          </w:tcPr>
          <w:p w:rsidR="00FA21A6" w:rsidRDefault="00FA21A6" w:rsidP="00775645">
            <w:pPr>
              <w:pStyle w:val="NoSpacing"/>
              <w:rPr>
                <w:sz w:val="24"/>
              </w:rPr>
            </w:pPr>
            <w:r>
              <w:rPr>
                <w:sz w:val="24"/>
              </w:rPr>
              <w:t>506</w:t>
            </w:r>
          </w:p>
        </w:tc>
        <w:tc>
          <w:tcPr>
            <w:tcW w:w="4765" w:type="dxa"/>
          </w:tcPr>
          <w:p w:rsidR="00FA21A6" w:rsidRDefault="00FA21A6" w:rsidP="00775645">
            <w:pPr>
              <w:pStyle w:val="NoSpacing"/>
              <w:rPr>
                <w:sz w:val="24"/>
              </w:rPr>
            </w:pPr>
            <w:r>
              <w:rPr>
                <w:sz w:val="24"/>
              </w:rPr>
              <w:t>Total Eligible Capital – 19400 + 1900 = 21300</w:t>
            </w:r>
          </w:p>
          <w:p w:rsidR="00FA21A6" w:rsidRDefault="00FA21A6" w:rsidP="00775645">
            <w:pPr>
              <w:pStyle w:val="NoSpacing"/>
              <w:rPr>
                <w:sz w:val="24"/>
              </w:rPr>
            </w:pPr>
          </w:p>
          <w:p w:rsidR="00FA21A6" w:rsidRDefault="00FA21A6" w:rsidP="00FA21A6">
            <w:pPr>
              <w:pStyle w:val="NoSpacing"/>
              <w:rPr>
                <w:sz w:val="24"/>
              </w:rPr>
            </w:pPr>
            <w:r>
              <w:rPr>
                <w:sz w:val="24"/>
              </w:rPr>
              <w:t>Tier 1 Ratio – 19400/185000 = 10.49%</w:t>
            </w:r>
          </w:p>
          <w:p w:rsidR="00FA21A6" w:rsidRDefault="00FA21A6" w:rsidP="00FA21A6">
            <w:pPr>
              <w:pStyle w:val="NoSpacing"/>
              <w:rPr>
                <w:sz w:val="24"/>
              </w:rPr>
            </w:pPr>
          </w:p>
          <w:p w:rsidR="00FA21A6" w:rsidRPr="00F26EA0" w:rsidRDefault="00FA21A6" w:rsidP="00FA21A6">
            <w:pPr>
              <w:pStyle w:val="NoSpacing"/>
              <w:rPr>
                <w:sz w:val="24"/>
              </w:rPr>
            </w:pPr>
            <w:r>
              <w:rPr>
                <w:sz w:val="24"/>
              </w:rPr>
              <w:t>CRAR – 21300/185000 = 11.51%</w:t>
            </w:r>
          </w:p>
        </w:tc>
        <w:tc>
          <w:tcPr>
            <w:tcW w:w="4172" w:type="dxa"/>
          </w:tcPr>
          <w:p w:rsidR="00FA21A6" w:rsidRDefault="00FA21A6" w:rsidP="00FA21A6">
            <w:pPr>
              <w:pStyle w:val="NoSpacing"/>
              <w:rPr>
                <w:sz w:val="24"/>
              </w:rPr>
            </w:pPr>
            <w:r>
              <w:rPr>
                <w:sz w:val="24"/>
              </w:rPr>
              <w:t xml:space="preserve">Total Eligible Capital – </w:t>
            </w:r>
            <w:r w:rsidRPr="00FA21A6">
              <w:rPr>
                <w:color w:val="FF0000"/>
                <w:sz w:val="24"/>
              </w:rPr>
              <w:t>17175</w:t>
            </w:r>
            <w:r>
              <w:rPr>
                <w:sz w:val="24"/>
              </w:rPr>
              <w:t xml:space="preserve"> + 1900 = </w:t>
            </w:r>
            <w:r w:rsidRPr="00FA21A6">
              <w:rPr>
                <w:color w:val="FF0000"/>
                <w:sz w:val="24"/>
              </w:rPr>
              <w:t>19075</w:t>
            </w:r>
          </w:p>
          <w:p w:rsidR="00FA21A6" w:rsidRDefault="00FA21A6" w:rsidP="00FA21A6">
            <w:pPr>
              <w:pStyle w:val="NoSpacing"/>
              <w:rPr>
                <w:sz w:val="24"/>
              </w:rPr>
            </w:pPr>
          </w:p>
          <w:p w:rsidR="00FA21A6" w:rsidRDefault="00FA21A6" w:rsidP="00FA21A6">
            <w:pPr>
              <w:pStyle w:val="NoSpacing"/>
              <w:rPr>
                <w:sz w:val="24"/>
              </w:rPr>
            </w:pPr>
            <w:r>
              <w:rPr>
                <w:sz w:val="24"/>
              </w:rPr>
              <w:t xml:space="preserve">Tier 1 Ratio – </w:t>
            </w:r>
            <w:r w:rsidRPr="00FA21A6">
              <w:rPr>
                <w:color w:val="FF0000"/>
                <w:sz w:val="24"/>
              </w:rPr>
              <w:t>17175</w:t>
            </w:r>
            <w:r>
              <w:rPr>
                <w:sz w:val="24"/>
              </w:rPr>
              <w:t xml:space="preserve">/185000 = </w:t>
            </w:r>
            <w:r w:rsidRPr="00FA21A6">
              <w:rPr>
                <w:color w:val="FF0000"/>
                <w:sz w:val="24"/>
              </w:rPr>
              <w:t>9.28%</w:t>
            </w:r>
          </w:p>
          <w:p w:rsidR="00FA21A6" w:rsidRDefault="00FA21A6" w:rsidP="00FA21A6">
            <w:pPr>
              <w:pStyle w:val="NoSpacing"/>
              <w:rPr>
                <w:sz w:val="24"/>
              </w:rPr>
            </w:pPr>
          </w:p>
          <w:p w:rsidR="00FA21A6" w:rsidRPr="00FA21A6" w:rsidRDefault="00FA21A6" w:rsidP="00FA21A6">
            <w:pPr>
              <w:pStyle w:val="NoSpacing"/>
              <w:rPr>
                <w:sz w:val="24"/>
              </w:rPr>
            </w:pPr>
            <w:r>
              <w:rPr>
                <w:sz w:val="24"/>
              </w:rPr>
              <w:t xml:space="preserve">CRAR – </w:t>
            </w:r>
            <w:r w:rsidRPr="00FA21A6">
              <w:rPr>
                <w:color w:val="FF0000"/>
                <w:sz w:val="24"/>
              </w:rPr>
              <w:t>19075</w:t>
            </w:r>
            <w:r>
              <w:rPr>
                <w:sz w:val="24"/>
              </w:rPr>
              <w:t xml:space="preserve">/185000 = </w:t>
            </w:r>
            <w:r w:rsidRPr="00FA21A6">
              <w:rPr>
                <w:color w:val="FF0000"/>
                <w:sz w:val="24"/>
              </w:rPr>
              <w:t>10.31%</w:t>
            </w:r>
          </w:p>
        </w:tc>
      </w:tr>
      <w:tr w:rsidR="00775645" w:rsidTr="004E23A1">
        <w:tc>
          <w:tcPr>
            <w:tcW w:w="745" w:type="dxa"/>
          </w:tcPr>
          <w:p w:rsidR="00775645" w:rsidRPr="00F26EA0" w:rsidRDefault="00097C38" w:rsidP="00775645">
            <w:pPr>
              <w:pStyle w:val="NoSpacing"/>
              <w:rPr>
                <w:sz w:val="24"/>
              </w:rPr>
            </w:pPr>
            <w:r>
              <w:rPr>
                <w:sz w:val="24"/>
              </w:rPr>
              <w:t>1</w:t>
            </w:r>
            <w:r w:rsidR="00775645">
              <w:rPr>
                <w:sz w:val="24"/>
              </w:rPr>
              <w:t>7</w:t>
            </w:r>
          </w:p>
        </w:tc>
        <w:tc>
          <w:tcPr>
            <w:tcW w:w="847" w:type="dxa"/>
          </w:tcPr>
          <w:p w:rsidR="00775645" w:rsidRPr="00F26EA0" w:rsidRDefault="00775645" w:rsidP="00775645">
            <w:pPr>
              <w:pStyle w:val="NoSpacing"/>
              <w:rPr>
                <w:sz w:val="24"/>
              </w:rPr>
            </w:pPr>
            <w:r>
              <w:rPr>
                <w:sz w:val="24"/>
              </w:rPr>
              <w:t>511, 530 (25.9), 532, 533, 537</w:t>
            </w:r>
          </w:p>
        </w:tc>
        <w:tc>
          <w:tcPr>
            <w:tcW w:w="4765" w:type="dxa"/>
          </w:tcPr>
          <w:p w:rsidR="00775645" w:rsidRPr="00F26EA0" w:rsidRDefault="00775645" w:rsidP="00775645">
            <w:pPr>
              <w:pStyle w:val="NoSpacing"/>
              <w:rPr>
                <w:sz w:val="24"/>
              </w:rPr>
            </w:pPr>
          </w:p>
        </w:tc>
        <w:tc>
          <w:tcPr>
            <w:tcW w:w="4172" w:type="dxa"/>
          </w:tcPr>
          <w:p w:rsidR="00775645" w:rsidRPr="00F26EA0" w:rsidRDefault="00775645" w:rsidP="00775645">
            <w:pPr>
              <w:pStyle w:val="NoSpacing"/>
              <w:rPr>
                <w:sz w:val="24"/>
              </w:rPr>
            </w:pPr>
            <w:r w:rsidRPr="00097C38">
              <w:rPr>
                <w:color w:val="FF0000"/>
                <w:sz w:val="24"/>
              </w:rPr>
              <w:t>Brickwork</w:t>
            </w:r>
            <w:r w:rsidR="00097C38" w:rsidRPr="00097C38">
              <w:rPr>
                <w:color w:val="FF0000"/>
                <w:sz w:val="24"/>
              </w:rPr>
              <w:t xml:space="preserve"> Rating Agency to be ignored</w:t>
            </w:r>
          </w:p>
        </w:tc>
      </w:tr>
      <w:tr w:rsidR="00775645" w:rsidTr="004E23A1">
        <w:tc>
          <w:tcPr>
            <w:tcW w:w="745" w:type="dxa"/>
          </w:tcPr>
          <w:p w:rsidR="00775645" w:rsidRPr="00F26EA0" w:rsidRDefault="00097C38" w:rsidP="00775645">
            <w:pPr>
              <w:pStyle w:val="NoSpacing"/>
              <w:rPr>
                <w:sz w:val="24"/>
              </w:rPr>
            </w:pPr>
            <w:r>
              <w:rPr>
                <w:sz w:val="24"/>
              </w:rPr>
              <w:t>1</w:t>
            </w:r>
            <w:r w:rsidR="00775645">
              <w:rPr>
                <w:sz w:val="24"/>
              </w:rPr>
              <w:t>8</w:t>
            </w:r>
          </w:p>
        </w:tc>
        <w:tc>
          <w:tcPr>
            <w:tcW w:w="847" w:type="dxa"/>
          </w:tcPr>
          <w:p w:rsidR="00775645" w:rsidRPr="00F26EA0" w:rsidRDefault="00775645" w:rsidP="00775645">
            <w:pPr>
              <w:pStyle w:val="NoSpacing"/>
              <w:rPr>
                <w:sz w:val="24"/>
              </w:rPr>
            </w:pPr>
            <w:r>
              <w:rPr>
                <w:sz w:val="24"/>
              </w:rPr>
              <w:t>577</w:t>
            </w:r>
          </w:p>
        </w:tc>
        <w:tc>
          <w:tcPr>
            <w:tcW w:w="4765" w:type="dxa"/>
          </w:tcPr>
          <w:p w:rsidR="00775645" w:rsidRDefault="00775645" w:rsidP="00775645">
            <w:pPr>
              <w:pStyle w:val="NoSpacing"/>
              <w:rPr>
                <w:sz w:val="24"/>
              </w:rPr>
            </w:pPr>
            <w:r w:rsidRPr="00A45779">
              <w:rPr>
                <w:sz w:val="24"/>
              </w:rPr>
              <w:t>Reserve Bank of India has issued revised guidelines for computation of capital for operational risk in</w:t>
            </w:r>
            <w:r>
              <w:rPr>
                <w:sz w:val="24"/>
              </w:rPr>
              <w:t xml:space="preserve"> </w:t>
            </w:r>
            <w:r w:rsidRPr="00A45779">
              <w:rPr>
                <w:sz w:val="24"/>
              </w:rPr>
              <w:t>line with the recommendations of Basel Committee.</w:t>
            </w:r>
            <w:r>
              <w:rPr>
                <w:sz w:val="24"/>
              </w:rPr>
              <w:t xml:space="preserve"> </w:t>
            </w:r>
            <w:r w:rsidRPr="00A45779">
              <w:rPr>
                <w:sz w:val="24"/>
              </w:rPr>
              <w:t xml:space="preserve">The new </w:t>
            </w:r>
            <w:proofErr w:type="spellStart"/>
            <w:r w:rsidRPr="00A45779">
              <w:rPr>
                <w:sz w:val="24"/>
              </w:rPr>
              <w:t>new</w:t>
            </w:r>
            <w:proofErr w:type="spellEnd"/>
            <w:r w:rsidRPr="00A45779">
              <w:rPr>
                <w:sz w:val="24"/>
              </w:rPr>
              <w:t xml:space="preserve"> guidelines are called the Reserve Bank</w:t>
            </w:r>
            <w:r w:rsidR="00097C38">
              <w:rPr>
                <w:sz w:val="24"/>
              </w:rPr>
              <w:t xml:space="preserve"> </w:t>
            </w:r>
            <w:r w:rsidRPr="00A45779">
              <w:rPr>
                <w:sz w:val="24"/>
              </w:rPr>
              <w:t xml:space="preserve">of </w:t>
            </w:r>
            <w:proofErr w:type="gramStart"/>
            <w:r w:rsidRPr="00A45779">
              <w:rPr>
                <w:sz w:val="24"/>
              </w:rPr>
              <w:t>India(</w:t>
            </w:r>
            <w:proofErr w:type="gramEnd"/>
            <w:r w:rsidRPr="00A45779">
              <w:rPr>
                <w:sz w:val="24"/>
              </w:rPr>
              <w:t>Minimum Capital Requirements for Operational risk) Directions, 2021.</w:t>
            </w:r>
          </w:p>
          <w:p w:rsidR="00775645" w:rsidRDefault="00775645" w:rsidP="00775645">
            <w:pPr>
              <w:pStyle w:val="NoSpacing"/>
              <w:rPr>
                <w:sz w:val="24"/>
              </w:rPr>
            </w:pPr>
          </w:p>
          <w:p w:rsidR="00775645" w:rsidRPr="00F26EA0" w:rsidRDefault="00775645" w:rsidP="00775645">
            <w:pPr>
              <w:pStyle w:val="NoSpacing"/>
              <w:rPr>
                <w:sz w:val="24"/>
              </w:rPr>
            </w:pPr>
            <w:r w:rsidRPr="00A45779">
              <w:rPr>
                <w:sz w:val="24"/>
              </w:rPr>
              <w:t>These new guidelines would come into force from April 1,</w:t>
            </w:r>
            <w:r>
              <w:rPr>
                <w:sz w:val="24"/>
              </w:rPr>
              <w:t xml:space="preserve"> </w:t>
            </w:r>
            <w:r w:rsidRPr="00A45779">
              <w:rPr>
                <w:sz w:val="24"/>
              </w:rPr>
              <w:t>2023. Till then, the existing guidelines would continue.</w:t>
            </w:r>
          </w:p>
        </w:tc>
        <w:tc>
          <w:tcPr>
            <w:tcW w:w="4172" w:type="dxa"/>
          </w:tcPr>
          <w:p w:rsidR="00775645" w:rsidRDefault="00775645" w:rsidP="00775645">
            <w:pPr>
              <w:pStyle w:val="NoSpacing"/>
              <w:rPr>
                <w:sz w:val="24"/>
              </w:rPr>
            </w:pPr>
            <w:r w:rsidRPr="00A45779">
              <w:rPr>
                <w:sz w:val="24"/>
              </w:rPr>
              <w:t xml:space="preserve">Reserve Bank of India </w:t>
            </w:r>
            <w:r w:rsidRPr="00A45779">
              <w:rPr>
                <w:color w:val="FF0000"/>
                <w:sz w:val="24"/>
              </w:rPr>
              <w:t>came out with the draft new</w:t>
            </w:r>
            <w:r>
              <w:rPr>
                <w:sz w:val="24"/>
              </w:rPr>
              <w:t xml:space="preserve"> </w:t>
            </w:r>
            <w:r w:rsidRPr="00A45779">
              <w:rPr>
                <w:sz w:val="24"/>
              </w:rPr>
              <w:t>guidelines for computation of capital for operational risk in</w:t>
            </w:r>
            <w:r>
              <w:rPr>
                <w:sz w:val="24"/>
              </w:rPr>
              <w:t xml:space="preserve"> </w:t>
            </w:r>
            <w:r w:rsidRPr="00A45779">
              <w:rPr>
                <w:sz w:val="24"/>
              </w:rPr>
              <w:t>line with the recommendations of Basel Committee.</w:t>
            </w:r>
            <w:r>
              <w:rPr>
                <w:sz w:val="24"/>
              </w:rPr>
              <w:t xml:space="preserve"> </w:t>
            </w:r>
            <w:r w:rsidRPr="00A45779">
              <w:rPr>
                <w:sz w:val="24"/>
              </w:rPr>
              <w:t xml:space="preserve">The </w:t>
            </w:r>
            <w:r w:rsidRPr="00A45779">
              <w:rPr>
                <w:color w:val="FF0000"/>
                <w:sz w:val="24"/>
              </w:rPr>
              <w:t>draft</w:t>
            </w:r>
            <w:r w:rsidRPr="00A45779">
              <w:rPr>
                <w:sz w:val="24"/>
              </w:rPr>
              <w:t xml:space="preserve"> new guidelines are called the Reserve Bank</w:t>
            </w:r>
            <w:r w:rsidR="00097C38">
              <w:rPr>
                <w:sz w:val="24"/>
              </w:rPr>
              <w:t xml:space="preserve"> </w:t>
            </w:r>
            <w:r w:rsidRPr="00A45779">
              <w:rPr>
                <w:sz w:val="24"/>
              </w:rPr>
              <w:t xml:space="preserve">of </w:t>
            </w:r>
            <w:proofErr w:type="gramStart"/>
            <w:r w:rsidRPr="00A45779">
              <w:rPr>
                <w:sz w:val="24"/>
              </w:rPr>
              <w:t>India(</w:t>
            </w:r>
            <w:proofErr w:type="gramEnd"/>
            <w:r w:rsidRPr="00A45779">
              <w:rPr>
                <w:sz w:val="24"/>
              </w:rPr>
              <w:t>Minimum Capital Requirements for Operational risk) Directions, 2021.</w:t>
            </w:r>
          </w:p>
          <w:p w:rsidR="00775645" w:rsidRDefault="00775645" w:rsidP="00775645">
            <w:pPr>
              <w:pStyle w:val="NoSpacing"/>
              <w:rPr>
                <w:sz w:val="24"/>
              </w:rPr>
            </w:pPr>
          </w:p>
          <w:p w:rsidR="00775645" w:rsidRPr="00A45779" w:rsidRDefault="00775645" w:rsidP="00775645">
            <w:pPr>
              <w:pStyle w:val="NoSpacing"/>
              <w:rPr>
                <w:sz w:val="24"/>
              </w:rPr>
            </w:pPr>
            <w:r w:rsidRPr="00A45779">
              <w:rPr>
                <w:sz w:val="24"/>
              </w:rPr>
              <w:t xml:space="preserve">These new guidelines </w:t>
            </w:r>
            <w:r w:rsidRPr="00A45779">
              <w:rPr>
                <w:color w:val="FF0000"/>
                <w:sz w:val="24"/>
              </w:rPr>
              <w:t>are expected to</w:t>
            </w:r>
            <w:r>
              <w:rPr>
                <w:sz w:val="24"/>
              </w:rPr>
              <w:t xml:space="preserve"> </w:t>
            </w:r>
            <w:r w:rsidRPr="00A45779">
              <w:rPr>
                <w:sz w:val="24"/>
              </w:rPr>
              <w:t>come into force from April 1,</w:t>
            </w:r>
          </w:p>
          <w:p w:rsidR="00775645" w:rsidRPr="00F26EA0" w:rsidRDefault="00775645" w:rsidP="00775645">
            <w:pPr>
              <w:pStyle w:val="NoSpacing"/>
              <w:rPr>
                <w:sz w:val="24"/>
              </w:rPr>
            </w:pPr>
            <w:r w:rsidRPr="00A45779">
              <w:rPr>
                <w:sz w:val="24"/>
              </w:rPr>
              <w:t xml:space="preserve">2023. </w:t>
            </w:r>
            <w:r w:rsidRPr="00A45779">
              <w:rPr>
                <w:color w:val="FF0000"/>
                <w:sz w:val="24"/>
              </w:rPr>
              <w:t>Until further notice from RBI in this regard</w:t>
            </w:r>
            <w:r w:rsidRPr="00A45779">
              <w:rPr>
                <w:sz w:val="24"/>
              </w:rPr>
              <w:t>, the existing guidelines would continue.</w:t>
            </w:r>
          </w:p>
        </w:tc>
      </w:tr>
      <w:tr w:rsidR="00775645" w:rsidTr="004E23A1">
        <w:tc>
          <w:tcPr>
            <w:tcW w:w="745" w:type="dxa"/>
          </w:tcPr>
          <w:p w:rsidR="00775645" w:rsidRPr="00F26EA0" w:rsidRDefault="00097C38" w:rsidP="00775645">
            <w:pPr>
              <w:pStyle w:val="NoSpacing"/>
              <w:rPr>
                <w:sz w:val="24"/>
              </w:rPr>
            </w:pPr>
            <w:r>
              <w:rPr>
                <w:sz w:val="24"/>
              </w:rPr>
              <w:t>19</w:t>
            </w:r>
          </w:p>
        </w:tc>
        <w:tc>
          <w:tcPr>
            <w:tcW w:w="847" w:type="dxa"/>
          </w:tcPr>
          <w:p w:rsidR="00775645" w:rsidRPr="00F26EA0" w:rsidRDefault="00FA21A6" w:rsidP="00775645">
            <w:pPr>
              <w:pStyle w:val="NoSpacing"/>
              <w:rPr>
                <w:sz w:val="24"/>
              </w:rPr>
            </w:pPr>
            <w:r>
              <w:rPr>
                <w:sz w:val="24"/>
              </w:rPr>
              <w:t>649</w:t>
            </w:r>
          </w:p>
        </w:tc>
        <w:tc>
          <w:tcPr>
            <w:tcW w:w="4765" w:type="dxa"/>
          </w:tcPr>
          <w:p w:rsidR="00775645" w:rsidRPr="00F26EA0" w:rsidRDefault="00FA21A6" w:rsidP="00715A16">
            <w:pPr>
              <w:pStyle w:val="NoSpacing"/>
              <w:rPr>
                <w:sz w:val="24"/>
              </w:rPr>
            </w:pPr>
            <w:r w:rsidRPr="00FA21A6">
              <w:rPr>
                <w:sz w:val="24"/>
              </w:rPr>
              <w:t xml:space="preserve">Thus, by retaining a greater proportion of earnings during a downturn, banks will be able to help ensure that capital remains available to support the ongoing business operations/lending activities during the period of stress. </w:t>
            </w:r>
          </w:p>
        </w:tc>
        <w:tc>
          <w:tcPr>
            <w:tcW w:w="4172" w:type="dxa"/>
          </w:tcPr>
          <w:p w:rsidR="00775645" w:rsidRPr="00F26EA0" w:rsidRDefault="00715A16" w:rsidP="00715A16">
            <w:pPr>
              <w:pStyle w:val="NoSpacing"/>
              <w:rPr>
                <w:sz w:val="24"/>
              </w:rPr>
            </w:pPr>
            <w:r w:rsidRPr="00715A16">
              <w:rPr>
                <w:sz w:val="24"/>
              </w:rPr>
              <w:t xml:space="preserve">Thus, by retaining a greater proportion of earnings during a </w:t>
            </w:r>
            <w:r w:rsidRPr="00715A16">
              <w:rPr>
                <w:color w:val="FF0000"/>
                <w:sz w:val="24"/>
              </w:rPr>
              <w:t>boom period</w:t>
            </w:r>
            <w:r w:rsidRPr="00715A16">
              <w:rPr>
                <w:sz w:val="24"/>
              </w:rPr>
              <w:t xml:space="preserve">, banks will be able to help ensure that capital remains available to support the ongoing business operations/lending activities during the period of stress. </w:t>
            </w:r>
          </w:p>
        </w:tc>
      </w:tr>
      <w:tr w:rsidR="00775645" w:rsidTr="004E23A1">
        <w:tc>
          <w:tcPr>
            <w:tcW w:w="745" w:type="dxa"/>
          </w:tcPr>
          <w:p w:rsidR="00775645" w:rsidRPr="00F26EA0" w:rsidRDefault="00097C38" w:rsidP="00775645">
            <w:pPr>
              <w:pStyle w:val="NoSpacing"/>
              <w:rPr>
                <w:sz w:val="24"/>
              </w:rPr>
            </w:pPr>
            <w:r>
              <w:rPr>
                <w:sz w:val="24"/>
              </w:rPr>
              <w:lastRenderedPageBreak/>
              <w:t>20</w:t>
            </w:r>
          </w:p>
        </w:tc>
        <w:tc>
          <w:tcPr>
            <w:tcW w:w="847" w:type="dxa"/>
          </w:tcPr>
          <w:p w:rsidR="00775645" w:rsidRPr="00F26EA0" w:rsidRDefault="00715A16" w:rsidP="00775645">
            <w:pPr>
              <w:pStyle w:val="NoSpacing"/>
              <w:rPr>
                <w:sz w:val="24"/>
              </w:rPr>
            </w:pPr>
            <w:r>
              <w:rPr>
                <w:sz w:val="24"/>
              </w:rPr>
              <w:t>749</w:t>
            </w:r>
          </w:p>
        </w:tc>
        <w:tc>
          <w:tcPr>
            <w:tcW w:w="4765" w:type="dxa"/>
          </w:tcPr>
          <w:p w:rsidR="00715A16" w:rsidRPr="00715A16" w:rsidRDefault="00715A16" w:rsidP="00715A16">
            <w:pPr>
              <w:pStyle w:val="NoSpacing"/>
              <w:rPr>
                <w:sz w:val="24"/>
              </w:rPr>
            </w:pPr>
            <w:r w:rsidRPr="00715A16">
              <w:rPr>
                <w:sz w:val="24"/>
                <w:highlight w:val="yellow"/>
              </w:rPr>
              <w:t>36.11.2</w:t>
            </w:r>
            <w:r>
              <w:rPr>
                <w:sz w:val="24"/>
              </w:rPr>
              <w:t xml:space="preserve"> </w:t>
            </w:r>
            <w:r w:rsidRPr="00715A16">
              <w:rPr>
                <w:sz w:val="24"/>
              </w:rPr>
              <w:t>http://www.rbi.org.in/scripts/NotificationUser</w:t>
            </w:r>
          </w:p>
          <w:p w:rsidR="00775645" w:rsidRPr="00F26EA0" w:rsidRDefault="00715A16" w:rsidP="00715A16">
            <w:pPr>
              <w:pStyle w:val="NoSpacing"/>
              <w:rPr>
                <w:sz w:val="24"/>
              </w:rPr>
            </w:pPr>
            <w:proofErr w:type="spellStart"/>
            <w:r w:rsidRPr="00715A16">
              <w:rPr>
                <w:sz w:val="24"/>
              </w:rPr>
              <w:t>aspx?Id</w:t>
            </w:r>
            <w:proofErr w:type="spellEnd"/>
            <w:r w:rsidRPr="00715A16">
              <w:rPr>
                <w:sz w:val="24"/>
              </w:rPr>
              <w:t>=8621&amp;Mode=0</w:t>
            </w:r>
          </w:p>
        </w:tc>
        <w:tc>
          <w:tcPr>
            <w:tcW w:w="4172" w:type="dxa"/>
          </w:tcPr>
          <w:p w:rsidR="00715A16" w:rsidRDefault="00715A16" w:rsidP="00775645">
            <w:pPr>
              <w:pStyle w:val="NoSpacing"/>
              <w:rPr>
                <w:sz w:val="24"/>
              </w:rPr>
            </w:pPr>
            <w:r w:rsidRPr="00715A16">
              <w:rPr>
                <w:sz w:val="24"/>
                <w:highlight w:val="yellow"/>
              </w:rPr>
              <w:t>36.11.2</w:t>
            </w:r>
            <w:r>
              <w:rPr>
                <w:sz w:val="24"/>
              </w:rPr>
              <w:t xml:space="preserve"> </w:t>
            </w:r>
          </w:p>
          <w:p w:rsidR="00775645" w:rsidRPr="00F26EA0" w:rsidRDefault="00715A16" w:rsidP="00775645">
            <w:pPr>
              <w:pStyle w:val="NoSpacing"/>
              <w:rPr>
                <w:sz w:val="24"/>
              </w:rPr>
            </w:pPr>
            <w:r w:rsidRPr="00715A16">
              <w:rPr>
                <w:color w:val="FF0000"/>
                <w:sz w:val="24"/>
              </w:rPr>
              <w:t>RBI/2018-19/222/FMRD.DIRD.19/14.03.046/2018-19 June26,2019 ( updated as on 06.08.2022)</w:t>
            </w:r>
          </w:p>
        </w:tc>
      </w:tr>
      <w:tr w:rsidR="00775645" w:rsidTr="004E23A1">
        <w:tc>
          <w:tcPr>
            <w:tcW w:w="745" w:type="dxa"/>
          </w:tcPr>
          <w:p w:rsidR="00775645" w:rsidRPr="00F26EA0" w:rsidRDefault="00097C38" w:rsidP="00775645">
            <w:pPr>
              <w:pStyle w:val="NoSpacing"/>
              <w:rPr>
                <w:sz w:val="24"/>
              </w:rPr>
            </w:pPr>
            <w:r>
              <w:rPr>
                <w:sz w:val="24"/>
              </w:rPr>
              <w:t>21</w:t>
            </w:r>
          </w:p>
        </w:tc>
        <w:tc>
          <w:tcPr>
            <w:tcW w:w="847" w:type="dxa"/>
          </w:tcPr>
          <w:p w:rsidR="00775645" w:rsidRPr="00F26EA0" w:rsidRDefault="00715A16" w:rsidP="00775645">
            <w:pPr>
              <w:pStyle w:val="NoSpacing"/>
              <w:rPr>
                <w:sz w:val="24"/>
              </w:rPr>
            </w:pPr>
            <w:r>
              <w:rPr>
                <w:sz w:val="24"/>
              </w:rPr>
              <w:t>752</w:t>
            </w:r>
          </w:p>
        </w:tc>
        <w:tc>
          <w:tcPr>
            <w:tcW w:w="4765" w:type="dxa"/>
          </w:tcPr>
          <w:p w:rsidR="00715A16" w:rsidRPr="00F26EA0" w:rsidRDefault="00715A16" w:rsidP="00715A16">
            <w:pPr>
              <w:pStyle w:val="NoSpacing"/>
              <w:rPr>
                <w:sz w:val="24"/>
              </w:rPr>
            </w:pPr>
          </w:p>
        </w:tc>
        <w:tc>
          <w:tcPr>
            <w:tcW w:w="4172" w:type="dxa"/>
          </w:tcPr>
          <w:p w:rsidR="00775645" w:rsidRDefault="00715A16" w:rsidP="00775645">
            <w:pPr>
              <w:pStyle w:val="NoSpacing"/>
              <w:rPr>
                <w:sz w:val="24"/>
              </w:rPr>
            </w:pPr>
            <w:r w:rsidRPr="00715A16">
              <w:rPr>
                <w:sz w:val="24"/>
                <w:highlight w:val="yellow"/>
              </w:rPr>
              <w:t>36.11.6 - Example Box</w:t>
            </w:r>
            <w:r>
              <w:rPr>
                <w:sz w:val="24"/>
              </w:rPr>
              <w:t xml:space="preserve"> </w:t>
            </w:r>
          </w:p>
          <w:p w:rsidR="00715A16" w:rsidRPr="00F26EA0" w:rsidRDefault="00715A16" w:rsidP="00C81563">
            <w:pPr>
              <w:pStyle w:val="NoSpacing"/>
              <w:rPr>
                <w:sz w:val="24"/>
              </w:rPr>
            </w:pPr>
            <w:r>
              <w:rPr>
                <w:sz w:val="24"/>
              </w:rPr>
              <w:t xml:space="preserve">How may future contracts should it buy? </w:t>
            </w:r>
            <w:r w:rsidRPr="00715A16">
              <w:rPr>
                <w:color w:val="FF0000"/>
                <w:sz w:val="24"/>
              </w:rPr>
              <w:t xml:space="preserve">One lot </w:t>
            </w:r>
            <w:r>
              <w:rPr>
                <w:color w:val="FF0000"/>
                <w:sz w:val="24"/>
              </w:rPr>
              <w:t xml:space="preserve">is </w:t>
            </w:r>
            <w:r w:rsidRPr="00715A16">
              <w:rPr>
                <w:color w:val="FF0000"/>
                <w:sz w:val="24"/>
              </w:rPr>
              <w:t xml:space="preserve">equal </w:t>
            </w:r>
            <w:r>
              <w:rPr>
                <w:color w:val="FF0000"/>
                <w:sz w:val="24"/>
              </w:rPr>
              <w:t xml:space="preserve">to </w:t>
            </w:r>
            <w:proofErr w:type="spellStart"/>
            <w:r w:rsidRPr="00715A16">
              <w:rPr>
                <w:color w:val="FF0000"/>
                <w:sz w:val="24"/>
              </w:rPr>
              <w:t>Rs</w:t>
            </w:r>
            <w:proofErr w:type="spellEnd"/>
            <w:r w:rsidRPr="00715A16">
              <w:rPr>
                <w:color w:val="FF0000"/>
                <w:sz w:val="24"/>
              </w:rPr>
              <w:t>. 2 lakhs face value of GOI securities equivalent to 2000 units.</w:t>
            </w:r>
          </w:p>
        </w:tc>
      </w:tr>
      <w:tr w:rsidR="00775645" w:rsidTr="004E23A1">
        <w:tc>
          <w:tcPr>
            <w:tcW w:w="745" w:type="dxa"/>
          </w:tcPr>
          <w:p w:rsidR="00775645" w:rsidRPr="00F26EA0" w:rsidRDefault="00775645" w:rsidP="00775645">
            <w:pPr>
              <w:pStyle w:val="NoSpacing"/>
              <w:rPr>
                <w:sz w:val="24"/>
              </w:rPr>
            </w:pPr>
          </w:p>
        </w:tc>
        <w:tc>
          <w:tcPr>
            <w:tcW w:w="847" w:type="dxa"/>
          </w:tcPr>
          <w:p w:rsidR="00775645" w:rsidRPr="00F26EA0" w:rsidRDefault="00775645" w:rsidP="00775645">
            <w:pPr>
              <w:pStyle w:val="NoSpacing"/>
              <w:rPr>
                <w:sz w:val="24"/>
              </w:rPr>
            </w:pPr>
          </w:p>
        </w:tc>
        <w:tc>
          <w:tcPr>
            <w:tcW w:w="4765" w:type="dxa"/>
          </w:tcPr>
          <w:p w:rsidR="00775645" w:rsidRPr="00F26EA0" w:rsidRDefault="00775645" w:rsidP="00775645">
            <w:pPr>
              <w:pStyle w:val="NoSpacing"/>
              <w:rPr>
                <w:sz w:val="24"/>
              </w:rPr>
            </w:pPr>
          </w:p>
        </w:tc>
        <w:tc>
          <w:tcPr>
            <w:tcW w:w="4172" w:type="dxa"/>
          </w:tcPr>
          <w:p w:rsidR="00775645" w:rsidRPr="00F26EA0" w:rsidRDefault="00775645" w:rsidP="00775645">
            <w:pPr>
              <w:pStyle w:val="NoSpacing"/>
              <w:rPr>
                <w:sz w:val="24"/>
              </w:rPr>
            </w:pPr>
          </w:p>
        </w:tc>
      </w:tr>
      <w:tr w:rsidR="00775645" w:rsidTr="004E23A1">
        <w:tc>
          <w:tcPr>
            <w:tcW w:w="745" w:type="dxa"/>
          </w:tcPr>
          <w:p w:rsidR="00775645" w:rsidRPr="00F26EA0" w:rsidRDefault="00775645" w:rsidP="00775645">
            <w:pPr>
              <w:pStyle w:val="NoSpacing"/>
              <w:rPr>
                <w:sz w:val="24"/>
              </w:rPr>
            </w:pPr>
          </w:p>
        </w:tc>
        <w:tc>
          <w:tcPr>
            <w:tcW w:w="847" w:type="dxa"/>
          </w:tcPr>
          <w:p w:rsidR="00775645" w:rsidRPr="00F26EA0" w:rsidRDefault="00775645" w:rsidP="00775645">
            <w:pPr>
              <w:pStyle w:val="NoSpacing"/>
              <w:rPr>
                <w:sz w:val="24"/>
              </w:rPr>
            </w:pPr>
          </w:p>
        </w:tc>
        <w:tc>
          <w:tcPr>
            <w:tcW w:w="4765" w:type="dxa"/>
          </w:tcPr>
          <w:p w:rsidR="00775645" w:rsidRPr="00F26EA0" w:rsidRDefault="00775645" w:rsidP="00775645">
            <w:pPr>
              <w:pStyle w:val="NoSpacing"/>
              <w:rPr>
                <w:sz w:val="24"/>
              </w:rPr>
            </w:pPr>
          </w:p>
        </w:tc>
        <w:tc>
          <w:tcPr>
            <w:tcW w:w="4172" w:type="dxa"/>
          </w:tcPr>
          <w:p w:rsidR="00775645" w:rsidRPr="00F26EA0" w:rsidRDefault="00775645" w:rsidP="00775645">
            <w:pPr>
              <w:pStyle w:val="NoSpacing"/>
              <w:rPr>
                <w:sz w:val="24"/>
              </w:rPr>
            </w:pPr>
          </w:p>
        </w:tc>
      </w:tr>
    </w:tbl>
    <w:p w:rsidR="00D3088C" w:rsidRDefault="00D3088C" w:rsidP="003B2694">
      <w:pPr>
        <w:pStyle w:val="NoSpacing"/>
      </w:pPr>
    </w:p>
    <w:p w:rsidR="00D3088C" w:rsidRDefault="00D3088C" w:rsidP="003B2694">
      <w:pPr>
        <w:pStyle w:val="NoSpacing"/>
      </w:pPr>
    </w:p>
    <w:p w:rsidR="00D3088C" w:rsidRPr="00D3088C" w:rsidRDefault="00D3088C" w:rsidP="00097C38">
      <w:pPr>
        <w:pStyle w:val="NoSpacing"/>
        <w:jc w:val="center"/>
        <w:rPr>
          <w:b/>
        </w:rPr>
      </w:pPr>
      <w:r w:rsidRPr="00097C38">
        <w:rPr>
          <w:b/>
          <w:color w:val="FF0000"/>
          <w:sz w:val="24"/>
        </w:rPr>
        <w:t xml:space="preserve">Please read Table 5.2 Structural Liquidity Statement as below on </w:t>
      </w:r>
      <w:proofErr w:type="spellStart"/>
      <w:r w:rsidRPr="00097C38">
        <w:rPr>
          <w:b/>
          <w:color w:val="FF0000"/>
          <w:sz w:val="24"/>
        </w:rPr>
        <w:t>Pg</w:t>
      </w:r>
      <w:proofErr w:type="spellEnd"/>
      <w:r w:rsidRPr="00097C38">
        <w:rPr>
          <w:b/>
          <w:color w:val="FF0000"/>
          <w:sz w:val="24"/>
        </w:rPr>
        <w:t xml:space="preserve"> 129</w:t>
      </w:r>
      <w:r w:rsidR="00097C38" w:rsidRPr="00097C38">
        <w:rPr>
          <w:b/>
          <w:color w:val="FF0000"/>
          <w:sz w:val="24"/>
        </w:rPr>
        <w:t xml:space="preserve"> of Risk </w:t>
      </w:r>
      <w:r w:rsidR="00097C38">
        <w:rPr>
          <w:b/>
          <w:color w:val="FF0000"/>
          <w:sz w:val="24"/>
        </w:rPr>
        <w:t>M</w:t>
      </w:r>
      <w:r w:rsidR="00097C38" w:rsidRPr="00097C38">
        <w:rPr>
          <w:b/>
          <w:color w:val="FF0000"/>
          <w:sz w:val="24"/>
        </w:rPr>
        <w:t>anagement</w:t>
      </w:r>
    </w:p>
    <w:p w:rsidR="00D3088C" w:rsidRDefault="00D3088C" w:rsidP="003B2694">
      <w:pPr>
        <w:pStyle w:val="NoSpacing"/>
      </w:pPr>
    </w:p>
    <w:tbl>
      <w:tblPr>
        <w:tblW w:w="10340" w:type="dxa"/>
        <w:tblLook w:val="04A0" w:firstRow="1" w:lastRow="0" w:firstColumn="1" w:lastColumn="0" w:noHBand="0" w:noVBand="1"/>
      </w:tblPr>
      <w:tblGrid>
        <w:gridCol w:w="1317"/>
        <w:gridCol w:w="661"/>
        <w:gridCol w:w="616"/>
        <w:gridCol w:w="672"/>
        <w:gridCol w:w="766"/>
        <w:gridCol w:w="806"/>
        <w:gridCol w:w="940"/>
        <w:gridCol w:w="760"/>
        <w:gridCol w:w="766"/>
        <w:gridCol w:w="840"/>
        <w:gridCol w:w="720"/>
        <w:gridCol w:w="761"/>
        <w:gridCol w:w="716"/>
      </w:tblGrid>
      <w:tr w:rsidR="00D3088C" w:rsidRPr="00D3088C" w:rsidTr="00D3088C">
        <w:trPr>
          <w:trHeight w:val="260"/>
        </w:trPr>
        <w:tc>
          <w:tcPr>
            <w:tcW w:w="10340" w:type="dxa"/>
            <w:gridSpan w:val="13"/>
            <w:tcBorders>
              <w:top w:val="nil"/>
              <w:left w:val="nil"/>
              <w:bottom w:val="single" w:sz="4" w:space="0" w:color="auto"/>
              <w:right w:val="nil"/>
            </w:tcBorders>
            <w:shd w:val="clear" w:color="000000" w:fill="D9E1F2"/>
            <w:noWrap/>
            <w:vAlign w:val="bottom"/>
            <w:hideMark/>
          </w:tcPr>
          <w:p w:rsidR="00D3088C" w:rsidRPr="00D3088C" w:rsidRDefault="00D3088C" w:rsidP="00D3088C">
            <w:pPr>
              <w:spacing w:after="0" w:line="240" w:lineRule="auto"/>
              <w:jc w:val="center"/>
              <w:rPr>
                <w:rFonts w:ascii="Calibri (Body)" w:eastAsia="Times New Roman" w:hAnsi="Calibri (Body)" w:cs="Calibri"/>
                <w:b/>
                <w:bCs/>
                <w:color w:val="000000"/>
                <w:sz w:val="20"/>
                <w:szCs w:val="20"/>
                <w:lang w:eastAsia="en-IN"/>
              </w:rPr>
            </w:pPr>
            <w:r w:rsidRPr="00D3088C">
              <w:rPr>
                <w:rFonts w:ascii="Calibri (Body)" w:eastAsia="Times New Roman" w:hAnsi="Calibri (Body)" w:cs="Calibri"/>
                <w:b/>
                <w:bCs/>
                <w:color w:val="000000"/>
                <w:sz w:val="20"/>
                <w:szCs w:val="20"/>
                <w:lang w:eastAsia="en-IN"/>
              </w:rPr>
              <w:t>Statement of Structural Liquidity  ABC Bank Ltd</w:t>
            </w:r>
          </w:p>
        </w:tc>
      </w:tr>
      <w:tr w:rsidR="00D3088C" w:rsidRPr="00D3088C" w:rsidTr="00D3088C">
        <w:trPr>
          <w:trHeight w:val="1040"/>
        </w:trPr>
        <w:tc>
          <w:tcPr>
            <w:tcW w:w="1780" w:type="dxa"/>
            <w:tcBorders>
              <w:top w:val="nil"/>
              <w:left w:val="single" w:sz="4" w:space="0" w:color="auto"/>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center"/>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Outflows</w:t>
            </w:r>
          </w:p>
        </w:tc>
        <w:tc>
          <w:tcPr>
            <w:tcW w:w="5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center"/>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Day1</w:t>
            </w:r>
          </w:p>
        </w:tc>
        <w:tc>
          <w:tcPr>
            <w:tcW w:w="60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center"/>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2-7 days</w:t>
            </w:r>
          </w:p>
        </w:tc>
        <w:tc>
          <w:tcPr>
            <w:tcW w:w="70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center"/>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8-14 days</w:t>
            </w:r>
          </w:p>
        </w:tc>
        <w:tc>
          <w:tcPr>
            <w:tcW w:w="6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center"/>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15-30 days</w:t>
            </w:r>
          </w:p>
        </w:tc>
        <w:tc>
          <w:tcPr>
            <w:tcW w:w="7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center"/>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 xml:space="preserve">31days to 2 </w:t>
            </w:r>
            <w:proofErr w:type="spellStart"/>
            <w:r w:rsidRPr="00D3088C">
              <w:rPr>
                <w:rFonts w:ascii="Times New Roman" w:eastAsia="Times New Roman" w:hAnsi="Times New Roman" w:cs="Times New Roman"/>
                <w:b/>
                <w:bCs/>
                <w:color w:val="000000"/>
                <w:sz w:val="20"/>
                <w:szCs w:val="20"/>
                <w:lang w:eastAsia="en-IN"/>
              </w:rPr>
              <w:t>mths</w:t>
            </w:r>
            <w:proofErr w:type="spellEnd"/>
          </w:p>
        </w:tc>
        <w:tc>
          <w:tcPr>
            <w:tcW w:w="9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center"/>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 xml:space="preserve">&gt; 2 months and </w:t>
            </w:r>
            <w:proofErr w:type="spellStart"/>
            <w:r w:rsidRPr="00D3088C">
              <w:rPr>
                <w:rFonts w:ascii="Times New Roman" w:eastAsia="Times New Roman" w:hAnsi="Times New Roman" w:cs="Times New Roman"/>
                <w:b/>
                <w:bCs/>
                <w:color w:val="000000"/>
                <w:sz w:val="20"/>
                <w:szCs w:val="20"/>
                <w:lang w:eastAsia="en-IN"/>
              </w:rPr>
              <w:t>upto</w:t>
            </w:r>
            <w:proofErr w:type="spellEnd"/>
            <w:r w:rsidRPr="00D3088C">
              <w:rPr>
                <w:rFonts w:ascii="Times New Roman" w:eastAsia="Times New Roman" w:hAnsi="Times New Roman" w:cs="Times New Roman"/>
                <w:b/>
                <w:bCs/>
                <w:color w:val="000000"/>
                <w:sz w:val="20"/>
                <w:szCs w:val="20"/>
                <w:lang w:eastAsia="en-IN"/>
              </w:rPr>
              <w:t xml:space="preserve"> 3 months </w:t>
            </w:r>
          </w:p>
        </w:tc>
        <w:tc>
          <w:tcPr>
            <w:tcW w:w="76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center"/>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 xml:space="preserve">&gt; 3mths to 6 </w:t>
            </w:r>
            <w:proofErr w:type="spellStart"/>
            <w:r w:rsidRPr="00D3088C">
              <w:rPr>
                <w:rFonts w:ascii="Times New Roman" w:eastAsia="Times New Roman" w:hAnsi="Times New Roman" w:cs="Times New Roman"/>
                <w:b/>
                <w:bCs/>
                <w:color w:val="000000"/>
                <w:sz w:val="20"/>
                <w:szCs w:val="20"/>
                <w:lang w:eastAsia="en-IN"/>
              </w:rPr>
              <w:t>mths</w:t>
            </w:r>
            <w:proofErr w:type="spellEnd"/>
          </w:p>
        </w:tc>
        <w:tc>
          <w:tcPr>
            <w:tcW w:w="76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center"/>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 xml:space="preserve">&gt; 6 </w:t>
            </w:r>
            <w:proofErr w:type="spellStart"/>
            <w:r w:rsidRPr="00D3088C">
              <w:rPr>
                <w:rFonts w:ascii="Times New Roman" w:eastAsia="Times New Roman" w:hAnsi="Times New Roman" w:cs="Times New Roman"/>
                <w:b/>
                <w:bCs/>
                <w:color w:val="000000"/>
                <w:sz w:val="20"/>
                <w:szCs w:val="20"/>
                <w:lang w:eastAsia="en-IN"/>
              </w:rPr>
              <w:t>mths</w:t>
            </w:r>
            <w:proofErr w:type="spellEnd"/>
            <w:r w:rsidRPr="00D3088C">
              <w:rPr>
                <w:rFonts w:ascii="Times New Roman" w:eastAsia="Times New Roman" w:hAnsi="Times New Roman" w:cs="Times New Roman"/>
                <w:b/>
                <w:bCs/>
                <w:color w:val="000000"/>
                <w:sz w:val="20"/>
                <w:szCs w:val="20"/>
                <w:lang w:eastAsia="en-IN"/>
              </w:rPr>
              <w:t xml:space="preserve"> to 1 </w:t>
            </w:r>
            <w:proofErr w:type="spellStart"/>
            <w:r w:rsidRPr="00D3088C">
              <w:rPr>
                <w:rFonts w:ascii="Times New Roman" w:eastAsia="Times New Roman" w:hAnsi="Times New Roman" w:cs="Times New Roman"/>
                <w:b/>
                <w:bCs/>
                <w:color w:val="000000"/>
                <w:sz w:val="20"/>
                <w:szCs w:val="20"/>
                <w:lang w:eastAsia="en-IN"/>
              </w:rPr>
              <w:t>yr</w:t>
            </w:r>
            <w:proofErr w:type="spellEnd"/>
          </w:p>
        </w:tc>
        <w:tc>
          <w:tcPr>
            <w:tcW w:w="8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center"/>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 xml:space="preserve">Over 1 </w:t>
            </w:r>
            <w:proofErr w:type="spellStart"/>
            <w:r w:rsidRPr="00D3088C">
              <w:rPr>
                <w:rFonts w:ascii="Times New Roman" w:eastAsia="Times New Roman" w:hAnsi="Times New Roman" w:cs="Times New Roman"/>
                <w:b/>
                <w:bCs/>
                <w:color w:val="000000"/>
                <w:sz w:val="20"/>
                <w:szCs w:val="20"/>
                <w:lang w:eastAsia="en-IN"/>
              </w:rPr>
              <w:t>yr</w:t>
            </w:r>
            <w:proofErr w:type="spellEnd"/>
            <w:r w:rsidRPr="00D3088C">
              <w:rPr>
                <w:rFonts w:ascii="Times New Roman" w:eastAsia="Times New Roman" w:hAnsi="Times New Roman" w:cs="Times New Roman"/>
                <w:b/>
                <w:bCs/>
                <w:color w:val="000000"/>
                <w:sz w:val="20"/>
                <w:szCs w:val="20"/>
                <w:lang w:eastAsia="en-IN"/>
              </w:rPr>
              <w:t xml:space="preserve"> </w:t>
            </w:r>
            <w:proofErr w:type="spellStart"/>
            <w:r w:rsidRPr="00D3088C">
              <w:rPr>
                <w:rFonts w:ascii="Times New Roman" w:eastAsia="Times New Roman" w:hAnsi="Times New Roman" w:cs="Times New Roman"/>
                <w:b/>
                <w:bCs/>
                <w:color w:val="000000"/>
                <w:sz w:val="20"/>
                <w:szCs w:val="20"/>
                <w:lang w:eastAsia="en-IN"/>
              </w:rPr>
              <w:t>upto</w:t>
            </w:r>
            <w:proofErr w:type="spellEnd"/>
            <w:r w:rsidRPr="00D3088C">
              <w:rPr>
                <w:rFonts w:ascii="Times New Roman" w:eastAsia="Times New Roman" w:hAnsi="Times New Roman" w:cs="Times New Roman"/>
                <w:b/>
                <w:bCs/>
                <w:color w:val="000000"/>
                <w:sz w:val="20"/>
                <w:szCs w:val="20"/>
                <w:lang w:eastAsia="en-IN"/>
              </w:rPr>
              <w:t xml:space="preserve"> 3 </w:t>
            </w:r>
            <w:proofErr w:type="spellStart"/>
            <w:r w:rsidRPr="00D3088C">
              <w:rPr>
                <w:rFonts w:ascii="Times New Roman" w:eastAsia="Times New Roman" w:hAnsi="Times New Roman" w:cs="Times New Roman"/>
                <w:b/>
                <w:bCs/>
                <w:color w:val="000000"/>
                <w:sz w:val="20"/>
                <w:szCs w:val="20"/>
                <w:lang w:eastAsia="en-IN"/>
              </w:rPr>
              <w:t>yrs</w:t>
            </w:r>
            <w:proofErr w:type="spellEnd"/>
          </w:p>
        </w:tc>
        <w:tc>
          <w:tcPr>
            <w:tcW w:w="72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center"/>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 xml:space="preserve">Over 3 </w:t>
            </w:r>
            <w:proofErr w:type="spellStart"/>
            <w:r w:rsidRPr="00D3088C">
              <w:rPr>
                <w:rFonts w:ascii="Times New Roman" w:eastAsia="Times New Roman" w:hAnsi="Times New Roman" w:cs="Times New Roman"/>
                <w:b/>
                <w:bCs/>
                <w:color w:val="000000"/>
                <w:sz w:val="20"/>
                <w:szCs w:val="20"/>
                <w:lang w:eastAsia="en-IN"/>
              </w:rPr>
              <w:t>yrs</w:t>
            </w:r>
            <w:proofErr w:type="spellEnd"/>
            <w:r w:rsidRPr="00D3088C">
              <w:rPr>
                <w:rFonts w:ascii="Times New Roman" w:eastAsia="Times New Roman" w:hAnsi="Times New Roman" w:cs="Times New Roman"/>
                <w:b/>
                <w:bCs/>
                <w:color w:val="000000"/>
                <w:sz w:val="20"/>
                <w:szCs w:val="20"/>
                <w:lang w:eastAsia="en-IN"/>
              </w:rPr>
              <w:t xml:space="preserve"> </w:t>
            </w:r>
            <w:proofErr w:type="spellStart"/>
            <w:r w:rsidRPr="00D3088C">
              <w:rPr>
                <w:rFonts w:ascii="Times New Roman" w:eastAsia="Times New Roman" w:hAnsi="Times New Roman" w:cs="Times New Roman"/>
                <w:b/>
                <w:bCs/>
                <w:color w:val="000000"/>
                <w:sz w:val="20"/>
                <w:szCs w:val="20"/>
                <w:lang w:eastAsia="en-IN"/>
              </w:rPr>
              <w:t>upto</w:t>
            </w:r>
            <w:proofErr w:type="spellEnd"/>
            <w:r w:rsidRPr="00D3088C">
              <w:rPr>
                <w:rFonts w:ascii="Times New Roman" w:eastAsia="Times New Roman" w:hAnsi="Times New Roman" w:cs="Times New Roman"/>
                <w:b/>
                <w:bCs/>
                <w:color w:val="000000"/>
                <w:sz w:val="20"/>
                <w:szCs w:val="20"/>
                <w:lang w:eastAsia="en-IN"/>
              </w:rPr>
              <w:t xml:space="preserve"> 5 </w:t>
            </w:r>
            <w:proofErr w:type="spellStart"/>
            <w:r w:rsidRPr="00D3088C">
              <w:rPr>
                <w:rFonts w:ascii="Times New Roman" w:eastAsia="Times New Roman" w:hAnsi="Times New Roman" w:cs="Times New Roman"/>
                <w:b/>
                <w:bCs/>
                <w:color w:val="000000"/>
                <w:sz w:val="20"/>
                <w:szCs w:val="20"/>
                <w:lang w:eastAsia="en-IN"/>
              </w:rPr>
              <w:t>yrs</w:t>
            </w:r>
            <w:proofErr w:type="spellEnd"/>
          </w:p>
        </w:tc>
        <w:tc>
          <w:tcPr>
            <w:tcW w:w="72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center"/>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 xml:space="preserve">Above 5 </w:t>
            </w:r>
            <w:proofErr w:type="spellStart"/>
            <w:r w:rsidRPr="00D3088C">
              <w:rPr>
                <w:rFonts w:ascii="Times New Roman" w:eastAsia="Times New Roman" w:hAnsi="Times New Roman" w:cs="Times New Roman"/>
                <w:b/>
                <w:bCs/>
                <w:color w:val="000000"/>
                <w:sz w:val="20"/>
                <w:szCs w:val="20"/>
                <w:lang w:eastAsia="en-IN"/>
              </w:rPr>
              <w:t>yrs</w:t>
            </w:r>
            <w:proofErr w:type="spellEnd"/>
          </w:p>
        </w:tc>
        <w:tc>
          <w:tcPr>
            <w:tcW w:w="60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center"/>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Total</w:t>
            </w:r>
          </w:p>
        </w:tc>
      </w:tr>
      <w:tr w:rsidR="00D3088C" w:rsidRPr="00D3088C" w:rsidTr="00D3088C">
        <w:trPr>
          <w:trHeight w:val="26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Capital</w:t>
            </w:r>
          </w:p>
        </w:tc>
        <w:tc>
          <w:tcPr>
            <w:tcW w:w="5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9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8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1500</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1500</w:t>
            </w:r>
          </w:p>
        </w:tc>
      </w:tr>
      <w:tr w:rsidR="00D3088C" w:rsidRPr="00D3088C" w:rsidTr="00D3088C">
        <w:trPr>
          <w:trHeight w:val="26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Reserve and Surplus</w:t>
            </w:r>
          </w:p>
        </w:tc>
        <w:tc>
          <w:tcPr>
            <w:tcW w:w="5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9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8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500</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500</w:t>
            </w:r>
          </w:p>
        </w:tc>
      </w:tr>
      <w:tr w:rsidR="00D3088C" w:rsidRPr="00D3088C" w:rsidTr="00D3088C">
        <w:trPr>
          <w:trHeight w:val="26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Current Deposit</w:t>
            </w:r>
          </w:p>
        </w:tc>
        <w:tc>
          <w:tcPr>
            <w:tcW w:w="5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5</w:t>
            </w:r>
          </w:p>
        </w:tc>
        <w:tc>
          <w:tcPr>
            <w:tcW w:w="600" w:type="dxa"/>
            <w:tcBorders>
              <w:top w:val="nil"/>
              <w:left w:val="nil"/>
              <w:bottom w:val="single" w:sz="4" w:space="0" w:color="auto"/>
              <w:right w:val="single" w:sz="4" w:space="0" w:color="auto"/>
            </w:tcBorders>
            <w:shd w:val="clear" w:color="auto" w:fill="auto"/>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5</w:t>
            </w:r>
          </w:p>
        </w:tc>
        <w:tc>
          <w:tcPr>
            <w:tcW w:w="7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155</w:t>
            </w:r>
          </w:p>
        </w:tc>
        <w:tc>
          <w:tcPr>
            <w:tcW w:w="6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9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8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935</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1100</w:t>
            </w:r>
          </w:p>
        </w:tc>
      </w:tr>
      <w:tr w:rsidR="00D3088C" w:rsidRPr="00D3088C" w:rsidTr="00D3088C">
        <w:trPr>
          <w:trHeight w:val="26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Savings Deposit</w:t>
            </w:r>
          </w:p>
        </w:tc>
        <w:tc>
          <w:tcPr>
            <w:tcW w:w="5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30</w:t>
            </w:r>
          </w:p>
        </w:tc>
        <w:tc>
          <w:tcPr>
            <w:tcW w:w="600" w:type="dxa"/>
            <w:tcBorders>
              <w:top w:val="nil"/>
              <w:left w:val="nil"/>
              <w:bottom w:val="single" w:sz="4" w:space="0" w:color="auto"/>
              <w:right w:val="single" w:sz="4" w:space="0" w:color="auto"/>
            </w:tcBorders>
            <w:shd w:val="clear" w:color="auto" w:fill="auto"/>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90</w:t>
            </w:r>
          </w:p>
        </w:tc>
        <w:tc>
          <w:tcPr>
            <w:tcW w:w="7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100</w:t>
            </w:r>
          </w:p>
        </w:tc>
        <w:tc>
          <w:tcPr>
            <w:tcW w:w="6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9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8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1870</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2090</w:t>
            </w:r>
          </w:p>
        </w:tc>
      </w:tr>
      <w:tr w:rsidR="00D3088C" w:rsidRPr="00D3088C" w:rsidTr="00D3088C">
        <w:trPr>
          <w:trHeight w:val="26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Term Deposit</w:t>
            </w:r>
          </w:p>
        </w:tc>
        <w:tc>
          <w:tcPr>
            <w:tcW w:w="5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30</w:t>
            </w:r>
          </w:p>
        </w:tc>
        <w:tc>
          <w:tcPr>
            <w:tcW w:w="600" w:type="dxa"/>
            <w:tcBorders>
              <w:top w:val="nil"/>
              <w:left w:val="nil"/>
              <w:bottom w:val="single" w:sz="4" w:space="0" w:color="auto"/>
              <w:right w:val="single" w:sz="4" w:space="0" w:color="auto"/>
            </w:tcBorders>
            <w:shd w:val="clear" w:color="auto" w:fill="auto"/>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510</w:t>
            </w:r>
          </w:p>
        </w:tc>
        <w:tc>
          <w:tcPr>
            <w:tcW w:w="7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175</w:t>
            </w:r>
          </w:p>
        </w:tc>
        <w:tc>
          <w:tcPr>
            <w:tcW w:w="6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200</w:t>
            </w:r>
          </w:p>
        </w:tc>
        <w:tc>
          <w:tcPr>
            <w:tcW w:w="7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100</w:t>
            </w:r>
          </w:p>
        </w:tc>
        <w:tc>
          <w:tcPr>
            <w:tcW w:w="9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200</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200</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200</w:t>
            </w:r>
          </w:p>
        </w:tc>
        <w:tc>
          <w:tcPr>
            <w:tcW w:w="8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2810</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1500</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1500</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7425</w:t>
            </w:r>
          </w:p>
        </w:tc>
      </w:tr>
      <w:tr w:rsidR="00D3088C" w:rsidRPr="00D3088C" w:rsidTr="00D3088C">
        <w:trPr>
          <w:trHeight w:val="26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Borrowings</w:t>
            </w:r>
          </w:p>
        </w:tc>
        <w:tc>
          <w:tcPr>
            <w:tcW w:w="5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50</w:t>
            </w:r>
          </w:p>
        </w:tc>
        <w:tc>
          <w:tcPr>
            <w:tcW w:w="600" w:type="dxa"/>
            <w:tcBorders>
              <w:top w:val="nil"/>
              <w:left w:val="nil"/>
              <w:bottom w:val="single" w:sz="4" w:space="0" w:color="auto"/>
              <w:right w:val="single" w:sz="4" w:space="0" w:color="auto"/>
            </w:tcBorders>
            <w:shd w:val="clear" w:color="auto" w:fill="auto"/>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300</w:t>
            </w:r>
          </w:p>
        </w:tc>
        <w:tc>
          <w:tcPr>
            <w:tcW w:w="7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200</w:t>
            </w:r>
          </w:p>
        </w:tc>
        <w:tc>
          <w:tcPr>
            <w:tcW w:w="9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300</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200</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300</w:t>
            </w:r>
          </w:p>
        </w:tc>
        <w:tc>
          <w:tcPr>
            <w:tcW w:w="8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500</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700</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300</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2850</w:t>
            </w:r>
          </w:p>
        </w:tc>
      </w:tr>
      <w:tr w:rsidR="00D3088C" w:rsidRPr="00D3088C" w:rsidTr="00D3088C">
        <w:trPr>
          <w:trHeight w:val="26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xml:space="preserve">Others </w:t>
            </w:r>
          </w:p>
        </w:tc>
        <w:tc>
          <w:tcPr>
            <w:tcW w:w="5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00" w:type="dxa"/>
            <w:tcBorders>
              <w:top w:val="nil"/>
              <w:left w:val="nil"/>
              <w:bottom w:val="single" w:sz="4" w:space="0" w:color="auto"/>
              <w:right w:val="single" w:sz="4" w:space="0" w:color="auto"/>
            </w:tcBorders>
            <w:shd w:val="clear" w:color="auto" w:fill="auto"/>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5</w:t>
            </w:r>
          </w:p>
        </w:tc>
        <w:tc>
          <w:tcPr>
            <w:tcW w:w="7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5</w:t>
            </w:r>
          </w:p>
        </w:tc>
        <w:tc>
          <w:tcPr>
            <w:tcW w:w="6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9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8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25</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35</w:t>
            </w:r>
          </w:p>
        </w:tc>
      </w:tr>
      <w:tr w:rsidR="00D3088C" w:rsidRPr="00D3088C" w:rsidTr="00D3088C">
        <w:trPr>
          <w:trHeight w:val="260"/>
        </w:trPr>
        <w:tc>
          <w:tcPr>
            <w:tcW w:w="1780" w:type="dxa"/>
            <w:tcBorders>
              <w:top w:val="nil"/>
              <w:left w:val="single" w:sz="4" w:space="0" w:color="auto"/>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both"/>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Total Outflows(A)</w:t>
            </w:r>
          </w:p>
        </w:tc>
        <w:tc>
          <w:tcPr>
            <w:tcW w:w="5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115</w:t>
            </w:r>
          </w:p>
        </w:tc>
        <w:tc>
          <w:tcPr>
            <w:tcW w:w="60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910</w:t>
            </w:r>
          </w:p>
        </w:tc>
        <w:tc>
          <w:tcPr>
            <w:tcW w:w="70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435</w:t>
            </w:r>
          </w:p>
        </w:tc>
        <w:tc>
          <w:tcPr>
            <w:tcW w:w="6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200</w:t>
            </w:r>
          </w:p>
        </w:tc>
        <w:tc>
          <w:tcPr>
            <w:tcW w:w="7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300</w:t>
            </w:r>
          </w:p>
        </w:tc>
        <w:tc>
          <w:tcPr>
            <w:tcW w:w="9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500</w:t>
            </w:r>
          </w:p>
        </w:tc>
        <w:tc>
          <w:tcPr>
            <w:tcW w:w="76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400</w:t>
            </w:r>
          </w:p>
        </w:tc>
        <w:tc>
          <w:tcPr>
            <w:tcW w:w="76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500</w:t>
            </w:r>
          </w:p>
        </w:tc>
        <w:tc>
          <w:tcPr>
            <w:tcW w:w="8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6140</w:t>
            </w:r>
          </w:p>
        </w:tc>
        <w:tc>
          <w:tcPr>
            <w:tcW w:w="72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2200</w:t>
            </w:r>
          </w:p>
        </w:tc>
        <w:tc>
          <w:tcPr>
            <w:tcW w:w="72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3800</w:t>
            </w:r>
          </w:p>
        </w:tc>
        <w:tc>
          <w:tcPr>
            <w:tcW w:w="60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15500</w:t>
            </w:r>
          </w:p>
        </w:tc>
      </w:tr>
      <w:tr w:rsidR="00D3088C" w:rsidRPr="00D3088C" w:rsidTr="00D3088C">
        <w:trPr>
          <w:trHeight w:val="520"/>
        </w:trPr>
        <w:tc>
          <w:tcPr>
            <w:tcW w:w="1780" w:type="dxa"/>
            <w:tcBorders>
              <w:top w:val="nil"/>
              <w:left w:val="single" w:sz="4" w:space="0" w:color="auto"/>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both"/>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Cumulative Outflow(B)</w:t>
            </w:r>
          </w:p>
        </w:tc>
        <w:tc>
          <w:tcPr>
            <w:tcW w:w="5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115</w:t>
            </w:r>
          </w:p>
        </w:tc>
        <w:tc>
          <w:tcPr>
            <w:tcW w:w="60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1025</w:t>
            </w:r>
          </w:p>
        </w:tc>
        <w:tc>
          <w:tcPr>
            <w:tcW w:w="70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1460</w:t>
            </w:r>
          </w:p>
        </w:tc>
        <w:tc>
          <w:tcPr>
            <w:tcW w:w="6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1660</w:t>
            </w:r>
          </w:p>
        </w:tc>
        <w:tc>
          <w:tcPr>
            <w:tcW w:w="7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1960</w:t>
            </w:r>
          </w:p>
        </w:tc>
        <w:tc>
          <w:tcPr>
            <w:tcW w:w="9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2460</w:t>
            </w:r>
          </w:p>
        </w:tc>
        <w:tc>
          <w:tcPr>
            <w:tcW w:w="76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2860</w:t>
            </w:r>
          </w:p>
        </w:tc>
        <w:tc>
          <w:tcPr>
            <w:tcW w:w="76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3360</w:t>
            </w:r>
          </w:p>
        </w:tc>
        <w:tc>
          <w:tcPr>
            <w:tcW w:w="8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9500</w:t>
            </w:r>
          </w:p>
        </w:tc>
        <w:tc>
          <w:tcPr>
            <w:tcW w:w="72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11700</w:t>
            </w:r>
          </w:p>
        </w:tc>
        <w:tc>
          <w:tcPr>
            <w:tcW w:w="72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15500</w:t>
            </w:r>
          </w:p>
        </w:tc>
        <w:tc>
          <w:tcPr>
            <w:tcW w:w="60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r>
      <w:tr w:rsidR="00D3088C" w:rsidRPr="00D3088C" w:rsidTr="00D3088C">
        <w:trPr>
          <w:trHeight w:val="260"/>
        </w:trPr>
        <w:tc>
          <w:tcPr>
            <w:tcW w:w="1780" w:type="dxa"/>
            <w:tcBorders>
              <w:top w:val="nil"/>
              <w:left w:val="single" w:sz="4" w:space="0" w:color="auto"/>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both"/>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Inflows</w:t>
            </w:r>
          </w:p>
        </w:tc>
        <w:tc>
          <w:tcPr>
            <w:tcW w:w="5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9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8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r>
      <w:tr w:rsidR="00D3088C" w:rsidRPr="00D3088C" w:rsidTr="00D3088C">
        <w:trPr>
          <w:trHeight w:val="26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Cash</w:t>
            </w:r>
          </w:p>
        </w:tc>
        <w:tc>
          <w:tcPr>
            <w:tcW w:w="5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20</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9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8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20</w:t>
            </w:r>
          </w:p>
        </w:tc>
      </w:tr>
      <w:tr w:rsidR="00D3088C" w:rsidRPr="00D3088C" w:rsidTr="00D3088C">
        <w:trPr>
          <w:trHeight w:val="26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Balance with RBI</w:t>
            </w:r>
          </w:p>
        </w:tc>
        <w:tc>
          <w:tcPr>
            <w:tcW w:w="5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40</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9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8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40</w:t>
            </w:r>
          </w:p>
        </w:tc>
      </w:tr>
      <w:tr w:rsidR="00D3088C" w:rsidRPr="00D3088C" w:rsidTr="00D3088C">
        <w:trPr>
          <w:trHeight w:val="52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Balance with other banks</w:t>
            </w:r>
          </w:p>
        </w:tc>
        <w:tc>
          <w:tcPr>
            <w:tcW w:w="5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50</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90</w:t>
            </w:r>
          </w:p>
        </w:tc>
        <w:tc>
          <w:tcPr>
            <w:tcW w:w="9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8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140</w:t>
            </w:r>
          </w:p>
        </w:tc>
      </w:tr>
      <w:tr w:rsidR="00D3088C" w:rsidRPr="00D3088C" w:rsidTr="00D3088C">
        <w:trPr>
          <w:trHeight w:val="26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Investments</w:t>
            </w:r>
          </w:p>
        </w:tc>
        <w:tc>
          <w:tcPr>
            <w:tcW w:w="5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300</w:t>
            </w:r>
          </w:p>
        </w:tc>
        <w:tc>
          <w:tcPr>
            <w:tcW w:w="6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100</w:t>
            </w:r>
          </w:p>
        </w:tc>
        <w:tc>
          <w:tcPr>
            <w:tcW w:w="7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9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200</w:t>
            </w:r>
          </w:p>
        </w:tc>
        <w:tc>
          <w:tcPr>
            <w:tcW w:w="8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500</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500</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1600</w:t>
            </w:r>
          </w:p>
        </w:tc>
      </w:tr>
      <w:tr w:rsidR="00D3088C" w:rsidRPr="00D3088C" w:rsidTr="00D3088C">
        <w:trPr>
          <w:trHeight w:val="52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Advances Cash Credit</w:t>
            </w:r>
          </w:p>
        </w:tc>
        <w:tc>
          <w:tcPr>
            <w:tcW w:w="5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700</w:t>
            </w:r>
          </w:p>
        </w:tc>
        <w:tc>
          <w:tcPr>
            <w:tcW w:w="7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100</w:t>
            </w:r>
          </w:p>
        </w:tc>
        <w:tc>
          <w:tcPr>
            <w:tcW w:w="7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50</w:t>
            </w:r>
          </w:p>
        </w:tc>
        <w:tc>
          <w:tcPr>
            <w:tcW w:w="9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50</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300</w:t>
            </w:r>
          </w:p>
        </w:tc>
        <w:tc>
          <w:tcPr>
            <w:tcW w:w="8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1200</w:t>
            </w:r>
          </w:p>
        </w:tc>
      </w:tr>
      <w:tr w:rsidR="00D3088C" w:rsidRPr="00D3088C" w:rsidTr="00D3088C">
        <w:trPr>
          <w:trHeight w:val="52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Advances Term Loan</w:t>
            </w:r>
          </w:p>
        </w:tc>
        <w:tc>
          <w:tcPr>
            <w:tcW w:w="5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300</w:t>
            </w:r>
          </w:p>
        </w:tc>
        <w:tc>
          <w:tcPr>
            <w:tcW w:w="7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200</w:t>
            </w:r>
          </w:p>
        </w:tc>
        <w:tc>
          <w:tcPr>
            <w:tcW w:w="7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200</w:t>
            </w:r>
          </w:p>
        </w:tc>
        <w:tc>
          <w:tcPr>
            <w:tcW w:w="9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300</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500</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500</w:t>
            </w:r>
          </w:p>
        </w:tc>
        <w:tc>
          <w:tcPr>
            <w:tcW w:w="8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5000</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2000</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500</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9500</w:t>
            </w:r>
          </w:p>
        </w:tc>
      </w:tr>
      <w:tr w:rsidR="00D3088C" w:rsidRPr="00D3088C" w:rsidTr="00D3088C">
        <w:trPr>
          <w:trHeight w:val="26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NPAs (Advances)</w:t>
            </w:r>
          </w:p>
        </w:tc>
        <w:tc>
          <w:tcPr>
            <w:tcW w:w="5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9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8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1000</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1000</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2000</w:t>
            </w:r>
          </w:p>
        </w:tc>
      </w:tr>
      <w:tr w:rsidR="00D3088C" w:rsidRPr="00D3088C" w:rsidTr="00D3088C">
        <w:trPr>
          <w:trHeight w:val="26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Fixed Assets</w:t>
            </w:r>
          </w:p>
        </w:tc>
        <w:tc>
          <w:tcPr>
            <w:tcW w:w="5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6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9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6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84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w:t>
            </w:r>
          </w:p>
        </w:tc>
        <w:tc>
          <w:tcPr>
            <w:tcW w:w="72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1000</w:t>
            </w:r>
          </w:p>
        </w:tc>
        <w:tc>
          <w:tcPr>
            <w:tcW w:w="600" w:type="dxa"/>
            <w:tcBorders>
              <w:top w:val="nil"/>
              <w:left w:val="nil"/>
              <w:bottom w:val="single" w:sz="4" w:space="0" w:color="auto"/>
              <w:right w:val="single" w:sz="4" w:space="0" w:color="auto"/>
            </w:tcBorders>
            <w:shd w:val="clear" w:color="auto" w:fill="auto"/>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1000</w:t>
            </w:r>
          </w:p>
        </w:tc>
      </w:tr>
      <w:tr w:rsidR="00D3088C" w:rsidRPr="00D3088C" w:rsidTr="00D3088C">
        <w:trPr>
          <w:trHeight w:val="260"/>
        </w:trPr>
        <w:tc>
          <w:tcPr>
            <w:tcW w:w="1780" w:type="dxa"/>
            <w:tcBorders>
              <w:top w:val="nil"/>
              <w:left w:val="single" w:sz="4" w:space="0" w:color="auto"/>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both"/>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Total Inflows ( C)</w:t>
            </w:r>
          </w:p>
        </w:tc>
        <w:tc>
          <w:tcPr>
            <w:tcW w:w="5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110</w:t>
            </w:r>
          </w:p>
        </w:tc>
        <w:tc>
          <w:tcPr>
            <w:tcW w:w="60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1000</w:t>
            </w:r>
          </w:p>
        </w:tc>
        <w:tc>
          <w:tcPr>
            <w:tcW w:w="70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300</w:t>
            </w:r>
          </w:p>
        </w:tc>
        <w:tc>
          <w:tcPr>
            <w:tcW w:w="6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400</w:t>
            </w:r>
          </w:p>
        </w:tc>
        <w:tc>
          <w:tcPr>
            <w:tcW w:w="7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340</w:t>
            </w:r>
          </w:p>
        </w:tc>
        <w:tc>
          <w:tcPr>
            <w:tcW w:w="9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350</w:t>
            </w:r>
          </w:p>
        </w:tc>
        <w:tc>
          <w:tcPr>
            <w:tcW w:w="76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500</w:t>
            </w:r>
          </w:p>
        </w:tc>
        <w:tc>
          <w:tcPr>
            <w:tcW w:w="76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1000</w:t>
            </w:r>
          </w:p>
        </w:tc>
        <w:tc>
          <w:tcPr>
            <w:tcW w:w="84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5500</w:t>
            </w:r>
          </w:p>
        </w:tc>
        <w:tc>
          <w:tcPr>
            <w:tcW w:w="72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3500</w:t>
            </w:r>
          </w:p>
        </w:tc>
        <w:tc>
          <w:tcPr>
            <w:tcW w:w="72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2500</w:t>
            </w:r>
          </w:p>
        </w:tc>
        <w:tc>
          <w:tcPr>
            <w:tcW w:w="600" w:type="dxa"/>
            <w:tcBorders>
              <w:top w:val="nil"/>
              <w:left w:val="nil"/>
              <w:bottom w:val="single" w:sz="4" w:space="0" w:color="auto"/>
              <w:right w:val="single" w:sz="4" w:space="0" w:color="auto"/>
            </w:tcBorders>
            <w:shd w:val="clear" w:color="000000" w:fill="FFFF00"/>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15500</w:t>
            </w:r>
          </w:p>
        </w:tc>
      </w:tr>
      <w:tr w:rsidR="00D3088C" w:rsidRPr="00D3088C" w:rsidTr="00D3088C">
        <w:trPr>
          <w:trHeight w:val="260"/>
        </w:trPr>
        <w:tc>
          <w:tcPr>
            <w:tcW w:w="1780" w:type="dxa"/>
            <w:tcBorders>
              <w:top w:val="nil"/>
              <w:left w:val="single" w:sz="4" w:space="0" w:color="auto"/>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Mismatch</w:t>
            </w:r>
            <w:r w:rsidRPr="00D3088C">
              <w:rPr>
                <w:rFonts w:ascii="Times New Roman" w:eastAsia="Times New Roman" w:hAnsi="Times New Roman" w:cs="Times New Roman"/>
                <w:b/>
                <w:bCs/>
                <w:color w:val="000000"/>
                <w:sz w:val="20"/>
                <w:szCs w:val="20"/>
                <w:lang w:eastAsia="en-IN"/>
              </w:rPr>
              <w:t>(C-A)</w:t>
            </w:r>
          </w:p>
        </w:tc>
        <w:tc>
          <w:tcPr>
            <w:tcW w:w="5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-5</w:t>
            </w:r>
          </w:p>
        </w:tc>
        <w:tc>
          <w:tcPr>
            <w:tcW w:w="60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90</w:t>
            </w:r>
          </w:p>
        </w:tc>
        <w:tc>
          <w:tcPr>
            <w:tcW w:w="70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-135</w:t>
            </w:r>
          </w:p>
        </w:tc>
        <w:tc>
          <w:tcPr>
            <w:tcW w:w="6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200</w:t>
            </w:r>
          </w:p>
        </w:tc>
        <w:tc>
          <w:tcPr>
            <w:tcW w:w="7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40</w:t>
            </w:r>
          </w:p>
        </w:tc>
        <w:tc>
          <w:tcPr>
            <w:tcW w:w="9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-150</w:t>
            </w:r>
          </w:p>
        </w:tc>
        <w:tc>
          <w:tcPr>
            <w:tcW w:w="76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100</w:t>
            </w:r>
          </w:p>
        </w:tc>
        <w:tc>
          <w:tcPr>
            <w:tcW w:w="76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500</w:t>
            </w:r>
          </w:p>
        </w:tc>
        <w:tc>
          <w:tcPr>
            <w:tcW w:w="8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-640</w:t>
            </w:r>
          </w:p>
        </w:tc>
        <w:tc>
          <w:tcPr>
            <w:tcW w:w="72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1300</w:t>
            </w:r>
          </w:p>
        </w:tc>
        <w:tc>
          <w:tcPr>
            <w:tcW w:w="72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-1300</w:t>
            </w:r>
          </w:p>
        </w:tc>
        <w:tc>
          <w:tcPr>
            <w:tcW w:w="60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 </w:t>
            </w:r>
          </w:p>
        </w:tc>
      </w:tr>
      <w:tr w:rsidR="00D3088C" w:rsidRPr="00D3088C" w:rsidTr="00D3088C">
        <w:trPr>
          <w:trHeight w:val="520"/>
        </w:trPr>
        <w:tc>
          <w:tcPr>
            <w:tcW w:w="1780" w:type="dxa"/>
            <w:tcBorders>
              <w:top w:val="nil"/>
              <w:left w:val="single" w:sz="4" w:space="0" w:color="auto"/>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lastRenderedPageBreak/>
              <w:t>Mismatch as % to Outflows</w:t>
            </w:r>
          </w:p>
        </w:tc>
        <w:tc>
          <w:tcPr>
            <w:tcW w:w="5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-4.35</w:t>
            </w:r>
          </w:p>
        </w:tc>
        <w:tc>
          <w:tcPr>
            <w:tcW w:w="60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9.89</w:t>
            </w:r>
          </w:p>
        </w:tc>
        <w:tc>
          <w:tcPr>
            <w:tcW w:w="70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-31.03</w:t>
            </w:r>
          </w:p>
        </w:tc>
        <w:tc>
          <w:tcPr>
            <w:tcW w:w="6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100.00</w:t>
            </w:r>
          </w:p>
        </w:tc>
        <w:tc>
          <w:tcPr>
            <w:tcW w:w="7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13.33</w:t>
            </w:r>
          </w:p>
        </w:tc>
        <w:tc>
          <w:tcPr>
            <w:tcW w:w="9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-30.00</w:t>
            </w:r>
          </w:p>
        </w:tc>
        <w:tc>
          <w:tcPr>
            <w:tcW w:w="76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25.00</w:t>
            </w:r>
          </w:p>
        </w:tc>
        <w:tc>
          <w:tcPr>
            <w:tcW w:w="76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100.00</w:t>
            </w:r>
          </w:p>
        </w:tc>
        <w:tc>
          <w:tcPr>
            <w:tcW w:w="8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-10.42</w:t>
            </w:r>
          </w:p>
        </w:tc>
        <w:tc>
          <w:tcPr>
            <w:tcW w:w="72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59.09</w:t>
            </w:r>
          </w:p>
        </w:tc>
        <w:tc>
          <w:tcPr>
            <w:tcW w:w="72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-34.21</w:t>
            </w:r>
          </w:p>
        </w:tc>
        <w:tc>
          <w:tcPr>
            <w:tcW w:w="60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 </w:t>
            </w:r>
          </w:p>
        </w:tc>
      </w:tr>
      <w:tr w:rsidR="00D3088C" w:rsidRPr="00D3088C" w:rsidTr="00D3088C">
        <w:trPr>
          <w:trHeight w:val="520"/>
        </w:trPr>
        <w:tc>
          <w:tcPr>
            <w:tcW w:w="1780" w:type="dxa"/>
            <w:tcBorders>
              <w:top w:val="nil"/>
              <w:left w:val="single" w:sz="4" w:space="0" w:color="auto"/>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Cumulative Mismatch</w:t>
            </w:r>
          </w:p>
        </w:tc>
        <w:tc>
          <w:tcPr>
            <w:tcW w:w="5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-5</w:t>
            </w:r>
          </w:p>
        </w:tc>
        <w:tc>
          <w:tcPr>
            <w:tcW w:w="60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85</w:t>
            </w:r>
          </w:p>
        </w:tc>
        <w:tc>
          <w:tcPr>
            <w:tcW w:w="70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-50</w:t>
            </w:r>
          </w:p>
        </w:tc>
        <w:tc>
          <w:tcPr>
            <w:tcW w:w="6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150</w:t>
            </w:r>
          </w:p>
        </w:tc>
        <w:tc>
          <w:tcPr>
            <w:tcW w:w="7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190</w:t>
            </w:r>
          </w:p>
        </w:tc>
        <w:tc>
          <w:tcPr>
            <w:tcW w:w="9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40</w:t>
            </w:r>
          </w:p>
        </w:tc>
        <w:tc>
          <w:tcPr>
            <w:tcW w:w="76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140</w:t>
            </w:r>
          </w:p>
        </w:tc>
        <w:tc>
          <w:tcPr>
            <w:tcW w:w="76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640</w:t>
            </w:r>
          </w:p>
        </w:tc>
        <w:tc>
          <w:tcPr>
            <w:tcW w:w="8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0</w:t>
            </w:r>
          </w:p>
        </w:tc>
        <w:tc>
          <w:tcPr>
            <w:tcW w:w="72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1300</w:t>
            </w:r>
          </w:p>
        </w:tc>
        <w:tc>
          <w:tcPr>
            <w:tcW w:w="72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NIL</w:t>
            </w:r>
          </w:p>
        </w:tc>
        <w:tc>
          <w:tcPr>
            <w:tcW w:w="60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 </w:t>
            </w:r>
          </w:p>
        </w:tc>
      </w:tr>
      <w:tr w:rsidR="00D3088C" w:rsidRPr="00D3088C" w:rsidTr="00D3088C">
        <w:trPr>
          <w:trHeight w:val="520"/>
        </w:trPr>
        <w:tc>
          <w:tcPr>
            <w:tcW w:w="1780" w:type="dxa"/>
            <w:tcBorders>
              <w:top w:val="nil"/>
              <w:left w:val="single" w:sz="4" w:space="0" w:color="auto"/>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proofErr w:type="spellStart"/>
            <w:r w:rsidRPr="00D3088C">
              <w:rPr>
                <w:rFonts w:ascii="Times New Roman" w:eastAsia="Times New Roman" w:hAnsi="Times New Roman" w:cs="Times New Roman"/>
                <w:color w:val="000000"/>
                <w:sz w:val="20"/>
                <w:szCs w:val="20"/>
                <w:lang w:eastAsia="en-IN"/>
              </w:rPr>
              <w:t>Cumul</w:t>
            </w:r>
            <w:proofErr w:type="spellEnd"/>
            <w:r w:rsidRPr="00D3088C">
              <w:rPr>
                <w:rFonts w:ascii="Times New Roman" w:eastAsia="Times New Roman" w:hAnsi="Times New Roman" w:cs="Times New Roman"/>
                <w:color w:val="000000"/>
                <w:sz w:val="20"/>
                <w:szCs w:val="20"/>
                <w:lang w:eastAsia="en-IN"/>
              </w:rPr>
              <w:t xml:space="preserve"> Mismatch  % to </w:t>
            </w:r>
            <w:proofErr w:type="spellStart"/>
            <w:r w:rsidRPr="00D3088C">
              <w:rPr>
                <w:rFonts w:ascii="Times New Roman" w:eastAsia="Times New Roman" w:hAnsi="Times New Roman" w:cs="Times New Roman"/>
                <w:color w:val="000000"/>
                <w:sz w:val="20"/>
                <w:szCs w:val="20"/>
                <w:lang w:eastAsia="en-IN"/>
              </w:rPr>
              <w:t>Cumu</w:t>
            </w:r>
            <w:proofErr w:type="spellEnd"/>
            <w:r w:rsidRPr="00D3088C">
              <w:rPr>
                <w:rFonts w:ascii="Times New Roman" w:eastAsia="Times New Roman" w:hAnsi="Times New Roman" w:cs="Times New Roman"/>
                <w:color w:val="000000"/>
                <w:sz w:val="20"/>
                <w:szCs w:val="20"/>
                <w:lang w:eastAsia="en-IN"/>
              </w:rPr>
              <w:t xml:space="preserve"> </w:t>
            </w:r>
            <w:proofErr w:type="spellStart"/>
            <w:r w:rsidRPr="00D3088C">
              <w:rPr>
                <w:rFonts w:ascii="Times New Roman" w:eastAsia="Times New Roman" w:hAnsi="Times New Roman" w:cs="Times New Roman"/>
                <w:color w:val="000000"/>
                <w:sz w:val="20"/>
                <w:szCs w:val="20"/>
                <w:lang w:eastAsia="en-IN"/>
              </w:rPr>
              <w:t>Ouflows</w:t>
            </w:r>
            <w:proofErr w:type="spellEnd"/>
          </w:p>
        </w:tc>
        <w:tc>
          <w:tcPr>
            <w:tcW w:w="5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-4.35</w:t>
            </w:r>
          </w:p>
        </w:tc>
        <w:tc>
          <w:tcPr>
            <w:tcW w:w="60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8.29</w:t>
            </w:r>
          </w:p>
        </w:tc>
        <w:tc>
          <w:tcPr>
            <w:tcW w:w="70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-3.42</w:t>
            </w:r>
          </w:p>
        </w:tc>
        <w:tc>
          <w:tcPr>
            <w:tcW w:w="6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9.04</w:t>
            </w:r>
          </w:p>
        </w:tc>
        <w:tc>
          <w:tcPr>
            <w:tcW w:w="7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9.69</w:t>
            </w:r>
          </w:p>
        </w:tc>
        <w:tc>
          <w:tcPr>
            <w:tcW w:w="9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1.63</w:t>
            </w:r>
          </w:p>
        </w:tc>
        <w:tc>
          <w:tcPr>
            <w:tcW w:w="76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4.90</w:t>
            </w:r>
          </w:p>
        </w:tc>
        <w:tc>
          <w:tcPr>
            <w:tcW w:w="76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19.05</w:t>
            </w:r>
          </w:p>
        </w:tc>
        <w:tc>
          <w:tcPr>
            <w:tcW w:w="8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0.00</w:t>
            </w:r>
          </w:p>
        </w:tc>
        <w:tc>
          <w:tcPr>
            <w:tcW w:w="72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11.11</w:t>
            </w:r>
          </w:p>
        </w:tc>
        <w:tc>
          <w:tcPr>
            <w:tcW w:w="72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 </w:t>
            </w:r>
          </w:p>
        </w:tc>
        <w:tc>
          <w:tcPr>
            <w:tcW w:w="60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000000"/>
                <w:sz w:val="20"/>
                <w:szCs w:val="20"/>
                <w:lang w:eastAsia="en-IN"/>
              </w:rPr>
            </w:pPr>
            <w:r w:rsidRPr="00D3088C">
              <w:rPr>
                <w:rFonts w:ascii="Times New Roman" w:eastAsia="Times New Roman" w:hAnsi="Times New Roman" w:cs="Times New Roman"/>
                <w:b/>
                <w:bCs/>
                <w:color w:val="000000"/>
                <w:sz w:val="20"/>
                <w:szCs w:val="20"/>
                <w:lang w:eastAsia="en-IN"/>
              </w:rPr>
              <w:t> </w:t>
            </w:r>
          </w:p>
        </w:tc>
      </w:tr>
      <w:tr w:rsidR="00D3088C" w:rsidRPr="00D3088C" w:rsidTr="00D3088C">
        <w:trPr>
          <w:trHeight w:val="780"/>
        </w:trPr>
        <w:tc>
          <w:tcPr>
            <w:tcW w:w="1780" w:type="dxa"/>
            <w:tcBorders>
              <w:top w:val="nil"/>
              <w:left w:val="single" w:sz="4" w:space="0" w:color="auto"/>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 xml:space="preserve">Regulatory limit </w:t>
            </w:r>
            <w:proofErr w:type="spellStart"/>
            <w:r w:rsidRPr="00D3088C">
              <w:rPr>
                <w:rFonts w:ascii="Times New Roman" w:eastAsia="Times New Roman" w:hAnsi="Times New Roman" w:cs="Times New Roman"/>
                <w:color w:val="000000"/>
                <w:sz w:val="20"/>
                <w:szCs w:val="20"/>
                <w:lang w:eastAsia="en-IN"/>
              </w:rPr>
              <w:t>Cumul</w:t>
            </w:r>
            <w:proofErr w:type="spellEnd"/>
            <w:r w:rsidRPr="00D3088C">
              <w:rPr>
                <w:rFonts w:ascii="Times New Roman" w:eastAsia="Times New Roman" w:hAnsi="Times New Roman" w:cs="Times New Roman"/>
                <w:color w:val="000000"/>
                <w:sz w:val="20"/>
                <w:szCs w:val="20"/>
                <w:lang w:eastAsia="en-IN"/>
              </w:rPr>
              <w:t xml:space="preserve"> Mismatch  % to </w:t>
            </w:r>
            <w:proofErr w:type="spellStart"/>
            <w:r w:rsidRPr="00D3088C">
              <w:rPr>
                <w:rFonts w:ascii="Times New Roman" w:eastAsia="Times New Roman" w:hAnsi="Times New Roman" w:cs="Times New Roman"/>
                <w:color w:val="000000"/>
                <w:sz w:val="20"/>
                <w:szCs w:val="20"/>
                <w:lang w:eastAsia="en-IN"/>
              </w:rPr>
              <w:t>Cumu</w:t>
            </w:r>
            <w:proofErr w:type="spellEnd"/>
            <w:r w:rsidRPr="00D3088C">
              <w:rPr>
                <w:rFonts w:ascii="Times New Roman" w:eastAsia="Times New Roman" w:hAnsi="Times New Roman" w:cs="Times New Roman"/>
                <w:color w:val="000000"/>
                <w:sz w:val="20"/>
                <w:szCs w:val="20"/>
                <w:lang w:eastAsia="en-IN"/>
              </w:rPr>
              <w:t xml:space="preserve"> </w:t>
            </w:r>
            <w:proofErr w:type="spellStart"/>
            <w:r w:rsidRPr="00D3088C">
              <w:rPr>
                <w:rFonts w:ascii="Times New Roman" w:eastAsia="Times New Roman" w:hAnsi="Times New Roman" w:cs="Times New Roman"/>
                <w:color w:val="000000"/>
                <w:sz w:val="20"/>
                <w:szCs w:val="20"/>
                <w:lang w:eastAsia="en-IN"/>
              </w:rPr>
              <w:t>Ouflows</w:t>
            </w:r>
            <w:proofErr w:type="spellEnd"/>
          </w:p>
        </w:tc>
        <w:tc>
          <w:tcPr>
            <w:tcW w:w="5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-5</w:t>
            </w:r>
          </w:p>
        </w:tc>
        <w:tc>
          <w:tcPr>
            <w:tcW w:w="60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-10</w:t>
            </w:r>
          </w:p>
        </w:tc>
        <w:tc>
          <w:tcPr>
            <w:tcW w:w="70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-15</w:t>
            </w:r>
          </w:p>
        </w:tc>
        <w:tc>
          <w:tcPr>
            <w:tcW w:w="6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-20</w:t>
            </w:r>
          </w:p>
        </w:tc>
        <w:tc>
          <w:tcPr>
            <w:tcW w:w="740" w:type="dxa"/>
            <w:tcBorders>
              <w:top w:val="nil"/>
              <w:left w:val="nil"/>
              <w:bottom w:val="single" w:sz="4" w:space="0" w:color="auto"/>
              <w:right w:val="single" w:sz="4" w:space="0" w:color="auto"/>
            </w:tcBorders>
            <w:shd w:val="clear" w:color="000000" w:fill="D9E1F2"/>
            <w:noWrap/>
            <w:vAlign w:val="bottom"/>
            <w:hideMark/>
          </w:tcPr>
          <w:p w:rsidR="00D3088C" w:rsidRPr="00D3088C" w:rsidRDefault="00D3088C" w:rsidP="00D3088C">
            <w:pPr>
              <w:spacing w:after="0" w:line="240" w:lineRule="auto"/>
              <w:jc w:val="right"/>
              <w:rPr>
                <w:rFonts w:ascii="Calibri" w:eastAsia="Times New Roman" w:hAnsi="Calibri" w:cs="Calibri"/>
                <w:b/>
                <w:bCs/>
                <w:color w:val="000000"/>
                <w:sz w:val="20"/>
                <w:szCs w:val="20"/>
                <w:lang w:eastAsia="en-IN"/>
              </w:rPr>
            </w:pPr>
            <w:r w:rsidRPr="00D3088C">
              <w:rPr>
                <w:rFonts w:ascii="Calibri" w:eastAsia="Times New Roman" w:hAnsi="Calibri" w:cs="Calibri"/>
                <w:b/>
                <w:bCs/>
                <w:color w:val="000000"/>
                <w:sz w:val="20"/>
                <w:szCs w:val="20"/>
                <w:lang w:eastAsia="en-IN"/>
              </w:rPr>
              <w:t> </w:t>
            </w:r>
          </w:p>
        </w:tc>
        <w:tc>
          <w:tcPr>
            <w:tcW w:w="940" w:type="dxa"/>
            <w:tcBorders>
              <w:top w:val="nil"/>
              <w:left w:val="nil"/>
              <w:bottom w:val="single" w:sz="4" w:space="0" w:color="auto"/>
              <w:right w:val="single" w:sz="4" w:space="0" w:color="auto"/>
            </w:tcBorders>
            <w:shd w:val="clear" w:color="000000" w:fill="D9E1F2"/>
            <w:noWrap/>
            <w:vAlign w:val="bottom"/>
            <w:hideMark/>
          </w:tcPr>
          <w:p w:rsidR="00D3088C" w:rsidRPr="00D3088C" w:rsidRDefault="00D3088C" w:rsidP="00D3088C">
            <w:pPr>
              <w:spacing w:after="0" w:line="240" w:lineRule="auto"/>
              <w:jc w:val="right"/>
              <w:rPr>
                <w:rFonts w:ascii="Calibri" w:eastAsia="Times New Roman" w:hAnsi="Calibri" w:cs="Calibri"/>
                <w:b/>
                <w:bCs/>
                <w:color w:val="000000"/>
                <w:sz w:val="20"/>
                <w:szCs w:val="20"/>
                <w:lang w:eastAsia="en-IN"/>
              </w:rPr>
            </w:pPr>
            <w:r w:rsidRPr="00D3088C">
              <w:rPr>
                <w:rFonts w:ascii="Calibri" w:eastAsia="Times New Roman" w:hAnsi="Calibri" w:cs="Calibri"/>
                <w:b/>
                <w:bCs/>
                <w:color w:val="000000"/>
                <w:sz w:val="20"/>
                <w:szCs w:val="20"/>
                <w:lang w:eastAsia="en-IN"/>
              </w:rPr>
              <w:t> </w:t>
            </w:r>
          </w:p>
        </w:tc>
        <w:tc>
          <w:tcPr>
            <w:tcW w:w="760" w:type="dxa"/>
            <w:tcBorders>
              <w:top w:val="nil"/>
              <w:left w:val="nil"/>
              <w:bottom w:val="single" w:sz="4" w:space="0" w:color="auto"/>
              <w:right w:val="single" w:sz="4" w:space="0" w:color="auto"/>
            </w:tcBorders>
            <w:shd w:val="clear" w:color="000000" w:fill="D9E1F2"/>
            <w:noWrap/>
            <w:vAlign w:val="bottom"/>
            <w:hideMark/>
          </w:tcPr>
          <w:p w:rsidR="00D3088C" w:rsidRPr="00D3088C" w:rsidRDefault="00D3088C" w:rsidP="00D3088C">
            <w:pPr>
              <w:spacing w:after="0" w:line="240" w:lineRule="auto"/>
              <w:jc w:val="right"/>
              <w:rPr>
                <w:rFonts w:ascii="Calibri" w:eastAsia="Times New Roman" w:hAnsi="Calibri" w:cs="Calibri"/>
                <w:b/>
                <w:bCs/>
                <w:color w:val="000000"/>
                <w:sz w:val="20"/>
                <w:szCs w:val="20"/>
                <w:lang w:eastAsia="en-IN"/>
              </w:rPr>
            </w:pPr>
            <w:r w:rsidRPr="00D3088C">
              <w:rPr>
                <w:rFonts w:ascii="Calibri" w:eastAsia="Times New Roman" w:hAnsi="Calibri" w:cs="Calibri"/>
                <w:b/>
                <w:bCs/>
                <w:color w:val="000000"/>
                <w:sz w:val="20"/>
                <w:szCs w:val="20"/>
                <w:lang w:eastAsia="en-IN"/>
              </w:rPr>
              <w:t> </w:t>
            </w:r>
          </w:p>
        </w:tc>
        <w:tc>
          <w:tcPr>
            <w:tcW w:w="760" w:type="dxa"/>
            <w:tcBorders>
              <w:top w:val="nil"/>
              <w:left w:val="nil"/>
              <w:bottom w:val="single" w:sz="4" w:space="0" w:color="auto"/>
              <w:right w:val="single" w:sz="4" w:space="0" w:color="auto"/>
            </w:tcBorders>
            <w:shd w:val="clear" w:color="000000" w:fill="D9E1F2"/>
            <w:noWrap/>
            <w:vAlign w:val="bottom"/>
            <w:hideMark/>
          </w:tcPr>
          <w:p w:rsidR="00D3088C" w:rsidRPr="00D3088C" w:rsidRDefault="00D3088C" w:rsidP="00D3088C">
            <w:pPr>
              <w:spacing w:after="0" w:line="240" w:lineRule="auto"/>
              <w:jc w:val="right"/>
              <w:rPr>
                <w:rFonts w:ascii="Calibri" w:eastAsia="Times New Roman" w:hAnsi="Calibri" w:cs="Calibri"/>
                <w:b/>
                <w:bCs/>
                <w:color w:val="000000"/>
                <w:sz w:val="20"/>
                <w:szCs w:val="20"/>
                <w:lang w:eastAsia="en-IN"/>
              </w:rPr>
            </w:pPr>
            <w:r w:rsidRPr="00D3088C">
              <w:rPr>
                <w:rFonts w:ascii="Calibri" w:eastAsia="Times New Roman" w:hAnsi="Calibri" w:cs="Calibri"/>
                <w:b/>
                <w:bCs/>
                <w:color w:val="000000"/>
                <w:sz w:val="20"/>
                <w:szCs w:val="20"/>
                <w:lang w:eastAsia="en-IN"/>
              </w:rPr>
              <w:t> </w:t>
            </w:r>
          </w:p>
        </w:tc>
        <w:tc>
          <w:tcPr>
            <w:tcW w:w="840" w:type="dxa"/>
            <w:tcBorders>
              <w:top w:val="nil"/>
              <w:left w:val="nil"/>
              <w:bottom w:val="single" w:sz="4" w:space="0" w:color="auto"/>
              <w:right w:val="single" w:sz="4" w:space="0" w:color="auto"/>
            </w:tcBorders>
            <w:shd w:val="clear" w:color="000000" w:fill="D9E1F2"/>
            <w:noWrap/>
            <w:vAlign w:val="bottom"/>
            <w:hideMark/>
          </w:tcPr>
          <w:p w:rsidR="00D3088C" w:rsidRPr="00D3088C" w:rsidRDefault="00D3088C" w:rsidP="00D3088C">
            <w:pPr>
              <w:spacing w:after="0" w:line="240" w:lineRule="auto"/>
              <w:jc w:val="right"/>
              <w:rPr>
                <w:rFonts w:ascii="Calibri" w:eastAsia="Times New Roman" w:hAnsi="Calibri" w:cs="Calibri"/>
                <w:b/>
                <w:bCs/>
                <w:color w:val="000000"/>
                <w:sz w:val="20"/>
                <w:szCs w:val="20"/>
                <w:lang w:eastAsia="en-IN"/>
              </w:rPr>
            </w:pPr>
            <w:r w:rsidRPr="00D3088C">
              <w:rPr>
                <w:rFonts w:ascii="Calibri" w:eastAsia="Times New Roman" w:hAnsi="Calibri" w:cs="Calibri"/>
                <w:b/>
                <w:bCs/>
                <w:color w:val="000000"/>
                <w:sz w:val="20"/>
                <w:szCs w:val="20"/>
                <w:lang w:eastAsia="en-IN"/>
              </w:rPr>
              <w:t> </w:t>
            </w:r>
          </w:p>
        </w:tc>
        <w:tc>
          <w:tcPr>
            <w:tcW w:w="720" w:type="dxa"/>
            <w:tcBorders>
              <w:top w:val="nil"/>
              <w:left w:val="nil"/>
              <w:bottom w:val="single" w:sz="4" w:space="0" w:color="auto"/>
              <w:right w:val="single" w:sz="4" w:space="0" w:color="auto"/>
            </w:tcBorders>
            <w:shd w:val="clear" w:color="000000" w:fill="D9E1F2"/>
            <w:noWrap/>
            <w:vAlign w:val="bottom"/>
            <w:hideMark/>
          </w:tcPr>
          <w:p w:rsidR="00D3088C" w:rsidRPr="00D3088C" w:rsidRDefault="00D3088C" w:rsidP="00D3088C">
            <w:pPr>
              <w:spacing w:after="0" w:line="240" w:lineRule="auto"/>
              <w:jc w:val="right"/>
              <w:rPr>
                <w:rFonts w:ascii="Calibri" w:eastAsia="Times New Roman" w:hAnsi="Calibri" w:cs="Calibri"/>
                <w:b/>
                <w:bCs/>
                <w:color w:val="000000"/>
                <w:sz w:val="20"/>
                <w:szCs w:val="20"/>
                <w:lang w:eastAsia="en-IN"/>
              </w:rPr>
            </w:pPr>
            <w:r w:rsidRPr="00D3088C">
              <w:rPr>
                <w:rFonts w:ascii="Calibri" w:eastAsia="Times New Roman" w:hAnsi="Calibri" w:cs="Calibri"/>
                <w:b/>
                <w:bCs/>
                <w:color w:val="000000"/>
                <w:sz w:val="20"/>
                <w:szCs w:val="20"/>
                <w:lang w:eastAsia="en-IN"/>
              </w:rPr>
              <w:t> </w:t>
            </w:r>
          </w:p>
        </w:tc>
        <w:tc>
          <w:tcPr>
            <w:tcW w:w="720" w:type="dxa"/>
            <w:tcBorders>
              <w:top w:val="nil"/>
              <w:left w:val="nil"/>
              <w:bottom w:val="single" w:sz="4" w:space="0" w:color="auto"/>
              <w:right w:val="single" w:sz="4" w:space="0" w:color="auto"/>
            </w:tcBorders>
            <w:shd w:val="clear" w:color="000000" w:fill="D9E1F2"/>
            <w:noWrap/>
            <w:vAlign w:val="bottom"/>
            <w:hideMark/>
          </w:tcPr>
          <w:p w:rsidR="00D3088C" w:rsidRPr="00D3088C" w:rsidRDefault="00D3088C" w:rsidP="00D3088C">
            <w:pPr>
              <w:spacing w:after="0" w:line="240" w:lineRule="auto"/>
              <w:jc w:val="right"/>
              <w:rPr>
                <w:rFonts w:ascii="Calibri" w:eastAsia="Times New Roman" w:hAnsi="Calibri" w:cs="Calibri"/>
                <w:b/>
                <w:bCs/>
                <w:color w:val="000000"/>
                <w:sz w:val="20"/>
                <w:szCs w:val="20"/>
                <w:lang w:eastAsia="en-IN"/>
              </w:rPr>
            </w:pPr>
            <w:r w:rsidRPr="00D3088C">
              <w:rPr>
                <w:rFonts w:ascii="Calibri" w:eastAsia="Times New Roman" w:hAnsi="Calibri" w:cs="Calibri"/>
                <w:b/>
                <w:bCs/>
                <w:color w:val="000000"/>
                <w:sz w:val="20"/>
                <w:szCs w:val="20"/>
                <w:lang w:eastAsia="en-IN"/>
              </w:rPr>
              <w:t> </w:t>
            </w:r>
          </w:p>
        </w:tc>
        <w:tc>
          <w:tcPr>
            <w:tcW w:w="600" w:type="dxa"/>
            <w:tcBorders>
              <w:top w:val="nil"/>
              <w:left w:val="nil"/>
              <w:bottom w:val="single" w:sz="4" w:space="0" w:color="auto"/>
              <w:right w:val="single" w:sz="4" w:space="0" w:color="auto"/>
            </w:tcBorders>
            <w:shd w:val="clear" w:color="000000" w:fill="D9E1F2"/>
            <w:noWrap/>
            <w:vAlign w:val="bottom"/>
            <w:hideMark/>
          </w:tcPr>
          <w:p w:rsidR="00D3088C" w:rsidRPr="00D3088C" w:rsidRDefault="00D3088C" w:rsidP="00D3088C">
            <w:pPr>
              <w:spacing w:after="0" w:line="240" w:lineRule="auto"/>
              <w:rPr>
                <w:rFonts w:ascii="Calibri" w:eastAsia="Times New Roman" w:hAnsi="Calibri" w:cs="Calibri"/>
                <w:b/>
                <w:bCs/>
                <w:color w:val="000000"/>
                <w:sz w:val="20"/>
                <w:szCs w:val="20"/>
                <w:lang w:eastAsia="en-IN"/>
              </w:rPr>
            </w:pPr>
            <w:r w:rsidRPr="00D3088C">
              <w:rPr>
                <w:rFonts w:ascii="Calibri" w:eastAsia="Times New Roman" w:hAnsi="Calibri" w:cs="Calibri"/>
                <w:b/>
                <w:bCs/>
                <w:color w:val="000000"/>
                <w:sz w:val="20"/>
                <w:szCs w:val="20"/>
                <w:lang w:eastAsia="en-IN"/>
              </w:rPr>
              <w:t> </w:t>
            </w:r>
          </w:p>
        </w:tc>
      </w:tr>
      <w:tr w:rsidR="00D3088C" w:rsidRPr="00D3088C" w:rsidTr="00D3088C">
        <w:trPr>
          <w:trHeight w:val="520"/>
        </w:trPr>
        <w:tc>
          <w:tcPr>
            <w:tcW w:w="1780" w:type="dxa"/>
            <w:tcBorders>
              <w:top w:val="nil"/>
              <w:left w:val="single" w:sz="4" w:space="0" w:color="auto"/>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both"/>
              <w:rPr>
                <w:rFonts w:ascii="Times New Roman" w:eastAsia="Times New Roman" w:hAnsi="Times New Roman" w:cs="Times New Roman"/>
                <w:color w:val="000000"/>
                <w:sz w:val="20"/>
                <w:szCs w:val="20"/>
                <w:lang w:eastAsia="en-IN"/>
              </w:rPr>
            </w:pPr>
            <w:r w:rsidRPr="00D3088C">
              <w:rPr>
                <w:rFonts w:ascii="Times New Roman" w:eastAsia="Times New Roman" w:hAnsi="Times New Roman" w:cs="Times New Roman"/>
                <w:color w:val="000000"/>
                <w:sz w:val="20"/>
                <w:szCs w:val="20"/>
                <w:lang w:eastAsia="en-IN"/>
              </w:rPr>
              <w:t>Banks Internal GAP Limit</w:t>
            </w:r>
          </w:p>
        </w:tc>
        <w:tc>
          <w:tcPr>
            <w:tcW w:w="5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-5</w:t>
            </w:r>
          </w:p>
        </w:tc>
        <w:tc>
          <w:tcPr>
            <w:tcW w:w="60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-10</w:t>
            </w:r>
          </w:p>
        </w:tc>
        <w:tc>
          <w:tcPr>
            <w:tcW w:w="70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-15</w:t>
            </w:r>
          </w:p>
        </w:tc>
        <w:tc>
          <w:tcPr>
            <w:tcW w:w="6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-20</w:t>
            </w:r>
          </w:p>
        </w:tc>
        <w:tc>
          <w:tcPr>
            <w:tcW w:w="7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-15</w:t>
            </w:r>
          </w:p>
        </w:tc>
        <w:tc>
          <w:tcPr>
            <w:tcW w:w="9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 </w:t>
            </w:r>
          </w:p>
        </w:tc>
        <w:tc>
          <w:tcPr>
            <w:tcW w:w="76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-5</w:t>
            </w:r>
          </w:p>
        </w:tc>
        <w:tc>
          <w:tcPr>
            <w:tcW w:w="76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-5</w:t>
            </w:r>
          </w:p>
        </w:tc>
        <w:tc>
          <w:tcPr>
            <w:tcW w:w="84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0</w:t>
            </w:r>
          </w:p>
        </w:tc>
        <w:tc>
          <w:tcPr>
            <w:tcW w:w="72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0</w:t>
            </w:r>
          </w:p>
        </w:tc>
        <w:tc>
          <w:tcPr>
            <w:tcW w:w="720" w:type="dxa"/>
            <w:tcBorders>
              <w:top w:val="nil"/>
              <w:left w:val="nil"/>
              <w:bottom w:val="single" w:sz="4" w:space="0" w:color="auto"/>
              <w:right w:val="single" w:sz="4" w:space="0" w:color="auto"/>
            </w:tcBorders>
            <w:shd w:val="clear" w:color="000000" w:fill="D9E1F2"/>
            <w:vAlign w:val="center"/>
            <w:hideMark/>
          </w:tcPr>
          <w:p w:rsidR="00D3088C" w:rsidRPr="00D3088C" w:rsidRDefault="00D3088C" w:rsidP="00D3088C">
            <w:pPr>
              <w:spacing w:after="0" w:line="240" w:lineRule="auto"/>
              <w:jc w:val="right"/>
              <w:rPr>
                <w:rFonts w:ascii="Times New Roman" w:eastAsia="Times New Roman" w:hAnsi="Times New Roman" w:cs="Times New Roman"/>
                <w:b/>
                <w:bCs/>
                <w:color w:val="C00000"/>
                <w:sz w:val="20"/>
                <w:szCs w:val="20"/>
                <w:lang w:eastAsia="en-IN"/>
              </w:rPr>
            </w:pPr>
            <w:r w:rsidRPr="00D3088C">
              <w:rPr>
                <w:rFonts w:ascii="Times New Roman" w:eastAsia="Times New Roman" w:hAnsi="Times New Roman" w:cs="Times New Roman"/>
                <w:b/>
                <w:bCs/>
                <w:color w:val="C00000"/>
                <w:sz w:val="20"/>
                <w:szCs w:val="20"/>
                <w:lang w:eastAsia="en-IN"/>
              </w:rPr>
              <w:t>0</w:t>
            </w:r>
          </w:p>
        </w:tc>
        <w:tc>
          <w:tcPr>
            <w:tcW w:w="600" w:type="dxa"/>
            <w:tcBorders>
              <w:top w:val="nil"/>
              <w:left w:val="nil"/>
              <w:bottom w:val="single" w:sz="4" w:space="0" w:color="auto"/>
              <w:right w:val="single" w:sz="4" w:space="0" w:color="auto"/>
            </w:tcBorders>
            <w:shd w:val="clear" w:color="000000" w:fill="D9E1F2"/>
            <w:noWrap/>
            <w:vAlign w:val="bottom"/>
            <w:hideMark/>
          </w:tcPr>
          <w:p w:rsidR="00D3088C" w:rsidRPr="00D3088C" w:rsidRDefault="00D3088C" w:rsidP="00D3088C">
            <w:pPr>
              <w:spacing w:after="0" w:line="240" w:lineRule="auto"/>
              <w:rPr>
                <w:rFonts w:ascii="Calibri" w:eastAsia="Times New Roman" w:hAnsi="Calibri" w:cs="Calibri"/>
                <w:b/>
                <w:bCs/>
                <w:color w:val="C00000"/>
                <w:sz w:val="20"/>
                <w:szCs w:val="20"/>
                <w:lang w:eastAsia="en-IN"/>
              </w:rPr>
            </w:pPr>
            <w:r w:rsidRPr="00D3088C">
              <w:rPr>
                <w:rFonts w:ascii="Calibri" w:eastAsia="Times New Roman" w:hAnsi="Calibri" w:cs="Calibri"/>
                <w:b/>
                <w:bCs/>
                <w:color w:val="C00000"/>
                <w:sz w:val="20"/>
                <w:szCs w:val="20"/>
                <w:lang w:eastAsia="en-IN"/>
              </w:rPr>
              <w:t> </w:t>
            </w:r>
          </w:p>
        </w:tc>
      </w:tr>
    </w:tbl>
    <w:p w:rsidR="00D3088C" w:rsidRDefault="00D3088C" w:rsidP="003B2694">
      <w:pPr>
        <w:pStyle w:val="NoSpacing"/>
      </w:pPr>
    </w:p>
    <w:p w:rsidR="00D3088C" w:rsidRDefault="00D3088C" w:rsidP="003B2694">
      <w:pPr>
        <w:pStyle w:val="NoSpacing"/>
      </w:pPr>
    </w:p>
    <w:p w:rsidR="00D3088C" w:rsidRDefault="00D3088C" w:rsidP="003B2694">
      <w:pPr>
        <w:pStyle w:val="NoSpacing"/>
      </w:pPr>
    </w:p>
    <w:p w:rsidR="00D3088C" w:rsidRPr="00097C38" w:rsidRDefault="00D3088C" w:rsidP="00097C38">
      <w:pPr>
        <w:pStyle w:val="NoSpacing"/>
        <w:rPr>
          <w:sz w:val="24"/>
        </w:rPr>
      </w:pPr>
      <w:r w:rsidRPr="00097C38">
        <w:rPr>
          <w:b/>
          <w:color w:val="FF0000"/>
          <w:sz w:val="24"/>
        </w:rPr>
        <w:t>Please read Table 5.</w:t>
      </w:r>
      <w:r w:rsidR="00511E39" w:rsidRPr="00097C38">
        <w:rPr>
          <w:b/>
          <w:color w:val="FF0000"/>
          <w:sz w:val="24"/>
        </w:rPr>
        <w:t>3</w:t>
      </w:r>
      <w:r w:rsidRPr="00097C38">
        <w:rPr>
          <w:b/>
          <w:color w:val="FF0000"/>
          <w:sz w:val="24"/>
        </w:rPr>
        <w:t xml:space="preserve"> </w:t>
      </w:r>
      <w:r w:rsidR="00511E39" w:rsidRPr="00097C38">
        <w:rPr>
          <w:b/>
          <w:color w:val="FF0000"/>
          <w:sz w:val="24"/>
        </w:rPr>
        <w:t xml:space="preserve">Statement of Short Term Dynamic </w:t>
      </w:r>
      <w:r w:rsidRPr="00097C38">
        <w:rPr>
          <w:b/>
          <w:color w:val="FF0000"/>
          <w:sz w:val="24"/>
        </w:rPr>
        <w:t>Liquidity</w:t>
      </w:r>
      <w:r w:rsidR="00511E39" w:rsidRPr="00097C38">
        <w:rPr>
          <w:b/>
          <w:color w:val="FF0000"/>
          <w:sz w:val="24"/>
        </w:rPr>
        <w:t xml:space="preserve"> </w:t>
      </w:r>
      <w:r w:rsidRPr="00097C38">
        <w:rPr>
          <w:b/>
          <w:color w:val="FF0000"/>
          <w:sz w:val="24"/>
        </w:rPr>
        <w:t xml:space="preserve">as below on </w:t>
      </w:r>
      <w:proofErr w:type="spellStart"/>
      <w:r w:rsidRPr="00097C38">
        <w:rPr>
          <w:b/>
          <w:color w:val="FF0000"/>
          <w:sz w:val="24"/>
        </w:rPr>
        <w:t>Pg</w:t>
      </w:r>
      <w:proofErr w:type="spellEnd"/>
      <w:r w:rsidRPr="00097C38">
        <w:rPr>
          <w:b/>
          <w:color w:val="FF0000"/>
          <w:sz w:val="24"/>
        </w:rPr>
        <w:t xml:space="preserve"> 1</w:t>
      </w:r>
      <w:r w:rsidR="00511E39" w:rsidRPr="00097C38">
        <w:rPr>
          <w:b/>
          <w:color w:val="FF0000"/>
          <w:sz w:val="24"/>
        </w:rPr>
        <w:t>30</w:t>
      </w:r>
      <w:r w:rsidR="00097C38" w:rsidRPr="00097C38">
        <w:rPr>
          <w:b/>
          <w:color w:val="FF0000"/>
          <w:sz w:val="24"/>
        </w:rPr>
        <w:t xml:space="preserve"> of Risk Management</w:t>
      </w:r>
    </w:p>
    <w:p w:rsidR="00D3088C" w:rsidRDefault="00D3088C" w:rsidP="003B2694">
      <w:pPr>
        <w:pStyle w:val="NoSpacing"/>
      </w:pPr>
    </w:p>
    <w:tbl>
      <w:tblPr>
        <w:tblW w:w="9240" w:type="dxa"/>
        <w:tblLook w:val="04A0" w:firstRow="1" w:lastRow="0" w:firstColumn="1" w:lastColumn="0" w:noHBand="0" w:noVBand="1"/>
      </w:tblPr>
      <w:tblGrid>
        <w:gridCol w:w="526"/>
        <w:gridCol w:w="3525"/>
        <w:gridCol w:w="771"/>
        <w:gridCol w:w="685"/>
        <w:gridCol w:w="685"/>
        <w:gridCol w:w="789"/>
        <w:gridCol w:w="809"/>
        <w:gridCol w:w="864"/>
        <w:gridCol w:w="632"/>
      </w:tblGrid>
      <w:tr w:rsidR="00D3088C" w:rsidRPr="00D3088C" w:rsidTr="00D3088C">
        <w:trPr>
          <w:trHeight w:val="310"/>
        </w:trPr>
        <w:tc>
          <w:tcPr>
            <w:tcW w:w="924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center"/>
              <w:rPr>
                <w:rFonts w:ascii="Calibri (Body)" w:eastAsia="Times New Roman" w:hAnsi="Calibri (Body)" w:cs="Calibri"/>
                <w:b/>
                <w:bCs/>
                <w:color w:val="000000"/>
                <w:sz w:val="20"/>
                <w:szCs w:val="20"/>
                <w:lang w:eastAsia="en-IN"/>
              </w:rPr>
            </w:pPr>
            <w:r w:rsidRPr="00D3088C">
              <w:rPr>
                <w:rFonts w:ascii="Calibri (Body)" w:eastAsia="Times New Roman" w:hAnsi="Calibri (Body)" w:cs="Calibri"/>
                <w:b/>
                <w:bCs/>
                <w:color w:val="000000"/>
                <w:sz w:val="24"/>
                <w:szCs w:val="20"/>
                <w:lang w:eastAsia="en-IN"/>
              </w:rPr>
              <w:t>Statement of Short-Term Dynamic Liquidity</w:t>
            </w:r>
          </w:p>
        </w:tc>
      </w:tr>
      <w:tr w:rsidR="00D3088C" w:rsidRPr="00D3088C" w:rsidTr="00D3088C">
        <w:trPr>
          <w:trHeight w:val="78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b/>
                <w:bCs/>
                <w:color w:val="000000"/>
                <w:sz w:val="20"/>
                <w:szCs w:val="20"/>
                <w:lang w:eastAsia="en-IN"/>
              </w:rPr>
            </w:pPr>
            <w:r w:rsidRPr="00D3088C">
              <w:rPr>
                <w:rFonts w:ascii="Calibri" w:eastAsia="Times New Roman" w:hAnsi="Calibri" w:cs="Calibri"/>
                <w:b/>
                <w:bCs/>
                <w:color w:val="000000"/>
                <w:sz w:val="20"/>
                <w:szCs w:val="20"/>
                <w:lang w:eastAsia="en-IN"/>
              </w:rPr>
              <w:t>A</w:t>
            </w:r>
          </w:p>
        </w:tc>
        <w:tc>
          <w:tcPr>
            <w:tcW w:w="3750" w:type="dxa"/>
            <w:tcBorders>
              <w:top w:val="nil"/>
              <w:left w:val="nil"/>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Calibri" w:eastAsia="Times New Roman" w:hAnsi="Calibri" w:cs="Calibri"/>
                <w:b/>
                <w:bCs/>
                <w:color w:val="000000"/>
                <w:sz w:val="20"/>
                <w:szCs w:val="20"/>
                <w:lang w:eastAsia="en-IN"/>
              </w:rPr>
            </w:pPr>
            <w:r w:rsidRPr="00D3088C">
              <w:rPr>
                <w:rFonts w:ascii="Calibri" w:eastAsia="Times New Roman" w:hAnsi="Calibri" w:cs="Calibri"/>
                <w:b/>
                <w:bCs/>
                <w:color w:val="000000"/>
                <w:sz w:val="20"/>
                <w:szCs w:val="20"/>
                <w:lang w:eastAsia="en-IN"/>
              </w:rPr>
              <w:t>Outflows</w:t>
            </w:r>
          </w:p>
        </w:tc>
        <w:tc>
          <w:tcPr>
            <w:tcW w:w="809"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b/>
                <w:bCs/>
                <w:color w:val="000000"/>
                <w:sz w:val="20"/>
                <w:szCs w:val="20"/>
                <w:lang w:eastAsia="en-IN"/>
              </w:rPr>
            </w:pPr>
            <w:r w:rsidRPr="00D3088C">
              <w:rPr>
                <w:rFonts w:ascii="Calibri" w:eastAsia="Times New Roman" w:hAnsi="Calibri" w:cs="Calibri"/>
                <w:b/>
                <w:bCs/>
                <w:color w:val="000000"/>
                <w:sz w:val="20"/>
                <w:szCs w:val="20"/>
                <w:lang w:eastAsia="en-IN"/>
              </w:rPr>
              <w:t>Next day</w:t>
            </w:r>
          </w:p>
        </w:tc>
        <w:tc>
          <w:tcPr>
            <w:tcW w:w="678" w:type="dxa"/>
            <w:tcBorders>
              <w:top w:val="nil"/>
              <w:left w:val="nil"/>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Calibri" w:eastAsia="Times New Roman" w:hAnsi="Calibri" w:cs="Calibri"/>
                <w:b/>
                <w:bCs/>
                <w:color w:val="000000"/>
                <w:sz w:val="20"/>
                <w:szCs w:val="20"/>
                <w:lang w:eastAsia="en-IN"/>
              </w:rPr>
            </w:pPr>
            <w:r w:rsidRPr="00D3088C">
              <w:rPr>
                <w:rFonts w:ascii="Calibri" w:eastAsia="Times New Roman" w:hAnsi="Calibri" w:cs="Calibri"/>
                <w:b/>
                <w:bCs/>
                <w:color w:val="000000"/>
                <w:sz w:val="20"/>
                <w:szCs w:val="20"/>
                <w:lang w:eastAsia="en-IN"/>
              </w:rPr>
              <w:t>2-7 days</w:t>
            </w:r>
          </w:p>
        </w:tc>
        <w:tc>
          <w:tcPr>
            <w:tcW w:w="664" w:type="dxa"/>
            <w:tcBorders>
              <w:top w:val="nil"/>
              <w:left w:val="nil"/>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Calibri" w:eastAsia="Times New Roman" w:hAnsi="Calibri" w:cs="Calibri"/>
                <w:b/>
                <w:bCs/>
                <w:color w:val="000000"/>
                <w:sz w:val="20"/>
                <w:szCs w:val="20"/>
                <w:lang w:eastAsia="en-IN"/>
              </w:rPr>
            </w:pPr>
            <w:r w:rsidRPr="00D3088C">
              <w:rPr>
                <w:rFonts w:ascii="Calibri" w:eastAsia="Times New Roman" w:hAnsi="Calibri" w:cs="Calibri"/>
                <w:b/>
                <w:bCs/>
                <w:color w:val="000000"/>
                <w:sz w:val="20"/>
                <w:szCs w:val="20"/>
                <w:lang w:eastAsia="en-IN"/>
              </w:rPr>
              <w:t>8-14 days</w:t>
            </w:r>
          </w:p>
        </w:tc>
        <w:tc>
          <w:tcPr>
            <w:tcW w:w="735" w:type="dxa"/>
            <w:tcBorders>
              <w:top w:val="nil"/>
              <w:left w:val="nil"/>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Calibri" w:eastAsia="Times New Roman" w:hAnsi="Calibri" w:cs="Calibri"/>
                <w:b/>
                <w:bCs/>
                <w:color w:val="000000"/>
                <w:sz w:val="20"/>
                <w:szCs w:val="20"/>
                <w:lang w:eastAsia="en-IN"/>
              </w:rPr>
            </w:pPr>
            <w:r w:rsidRPr="00D3088C">
              <w:rPr>
                <w:rFonts w:ascii="Calibri" w:eastAsia="Times New Roman" w:hAnsi="Calibri" w:cs="Calibri"/>
                <w:b/>
                <w:bCs/>
                <w:color w:val="000000"/>
                <w:sz w:val="20"/>
                <w:szCs w:val="20"/>
                <w:lang w:eastAsia="en-IN"/>
              </w:rPr>
              <w:t>15-30 days</w:t>
            </w:r>
          </w:p>
        </w:tc>
        <w:tc>
          <w:tcPr>
            <w:tcW w:w="844" w:type="dxa"/>
            <w:tcBorders>
              <w:top w:val="nil"/>
              <w:left w:val="nil"/>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Calibri" w:eastAsia="Times New Roman" w:hAnsi="Calibri" w:cs="Calibri"/>
                <w:b/>
                <w:bCs/>
                <w:color w:val="000000"/>
                <w:sz w:val="20"/>
                <w:szCs w:val="20"/>
                <w:lang w:eastAsia="en-IN"/>
              </w:rPr>
            </w:pPr>
            <w:r w:rsidRPr="00D3088C">
              <w:rPr>
                <w:rFonts w:ascii="Calibri" w:eastAsia="Times New Roman" w:hAnsi="Calibri" w:cs="Calibri"/>
                <w:b/>
                <w:bCs/>
                <w:color w:val="000000"/>
                <w:sz w:val="20"/>
                <w:szCs w:val="20"/>
                <w:lang w:eastAsia="en-IN"/>
              </w:rPr>
              <w:t xml:space="preserve">31 days &amp; </w:t>
            </w:r>
            <w:proofErr w:type="spellStart"/>
            <w:r w:rsidRPr="00D3088C">
              <w:rPr>
                <w:rFonts w:ascii="Calibri" w:eastAsia="Times New Roman" w:hAnsi="Calibri" w:cs="Calibri"/>
                <w:b/>
                <w:bCs/>
                <w:color w:val="000000"/>
                <w:sz w:val="20"/>
                <w:szCs w:val="20"/>
                <w:lang w:eastAsia="en-IN"/>
              </w:rPr>
              <w:t>upto</w:t>
            </w:r>
            <w:proofErr w:type="spellEnd"/>
            <w:r w:rsidRPr="00D3088C">
              <w:rPr>
                <w:rFonts w:ascii="Calibri" w:eastAsia="Times New Roman" w:hAnsi="Calibri" w:cs="Calibri"/>
                <w:b/>
                <w:bCs/>
                <w:color w:val="000000"/>
                <w:sz w:val="20"/>
                <w:szCs w:val="20"/>
                <w:lang w:eastAsia="en-IN"/>
              </w:rPr>
              <w:t xml:space="preserve"> 2 months</w:t>
            </w:r>
          </w:p>
        </w:tc>
        <w:tc>
          <w:tcPr>
            <w:tcW w:w="908" w:type="dxa"/>
            <w:tcBorders>
              <w:top w:val="nil"/>
              <w:left w:val="nil"/>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Calibri" w:eastAsia="Times New Roman" w:hAnsi="Calibri" w:cs="Calibri"/>
                <w:b/>
                <w:bCs/>
                <w:color w:val="000000"/>
                <w:sz w:val="20"/>
                <w:szCs w:val="20"/>
                <w:lang w:eastAsia="en-IN"/>
              </w:rPr>
            </w:pPr>
            <w:r w:rsidRPr="00D3088C">
              <w:rPr>
                <w:rFonts w:ascii="Calibri" w:eastAsia="Times New Roman" w:hAnsi="Calibri" w:cs="Calibri"/>
                <w:b/>
                <w:bCs/>
                <w:color w:val="000000"/>
                <w:sz w:val="20"/>
                <w:szCs w:val="20"/>
                <w:lang w:eastAsia="en-IN"/>
              </w:rPr>
              <w:t xml:space="preserve">&gt; 2 months &amp; </w:t>
            </w:r>
            <w:proofErr w:type="spellStart"/>
            <w:r w:rsidRPr="00D3088C">
              <w:rPr>
                <w:rFonts w:ascii="Calibri" w:eastAsia="Times New Roman" w:hAnsi="Calibri" w:cs="Calibri"/>
                <w:b/>
                <w:bCs/>
                <w:color w:val="000000"/>
                <w:sz w:val="20"/>
                <w:szCs w:val="20"/>
                <w:lang w:eastAsia="en-IN"/>
              </w:rPr>
              <w:t>upto</w:t>
            </w:r>
            <w:proofErr w:type="spellEnd"/>
            <w:r w:rsidRPr="00D3088C">
              <w:rPr>
                <w:rFonts w:ascii="Calibri" w:eastAsia="Times New Roman" w:hAnsi="Calibri" w:cs="Calibri"/>
                <w:b/>
                <w:bCs/>
                <w:color w:val="000000"/>
                <w:sz w:val="20"/>
                <w:szCs w:val="20"/>
                <w:lang w:eastAsia="en-IN"/>
              </w:rPr>
              <w:t xml:space="preserve"> 3 months</w:t>
            </w:r>
          </w:p>
        </w:tc>
        <w:tc>
          <w:tcPr>
            <w:tcW w:w="491"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b/>
                <w:bCs/>
                <w:color w:val="000000"/>
                <w:sz w:val="20"/>
                <w:szCs w:val="20"/>
                <w:lang w:eastAsia="en-IN"/>
              </w:rPr>
            </w:pPr>
            <w:r w:rsidRPr="00D3088C">
              <w:rPr>
                <w:rFonts w:ascii="Calibri" w:eastAsia="Times New Roman" w:hAnsi="Calibri" w:cs="Calibri"/>
                <w:b/>
                <w:bCs/>
                <w:color w:val="000000"/>
                <w:sz w:val="20"/>
                <w:szCs w:val="20"/>
                <w:lang w:eastAsia="en-IN"/>
              </w:rPr>
              <w:t>Total</w:t>
            </w:r>
          </w:p>
        </w:tc>
      </w:tr>
      <w:tr w:rsidR="00D3088C" w:rsidRPr="00D3088C" w:rsidTr="00D3088C">
        <w:trPr>
          <w:trHeight w:val="260"/>
        </w:trPr>
        <w:tc>
          <w:tcPr>
            <w:tcW w:w="36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1</w:t>
            </w:r>
          </w:p>
        </w:tc>
        <w:tc>
          <w:tcPr>
            <w:tcW w:w="3750" w:type="dxa"/>
            <w:vMerge w:val="restart"/>
            <w:tcBorders>
              <w:top w:val="nil"/>
              <w:left w:val="single" w:sz="4" w:space="0" w:color="auto"/>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 xml:space="preserve">Net increase in loans and advances </w:t>
            </w:r>
          </w:p>
        </w:tc>
        <w:tc>
          <w:tcPr>
            <w:tcW w:w="8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50</w:t>
            </w:r>
          </w:p>
        </w:tc>
        <w:tc>
          <w:tcPr>
            <w:tcW w:w="6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7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50</w:t>
            </w: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 </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100</w:t>
            </w:r>
          </w:p>
        </w:tc>
        <w:tc>
          <w:tcPr>
            <w:tcW w:w="49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200</w:t>
            </w:r>
          </w:p>
        </w:tc>
      </w:tr>
      <w:tr w:rsidR="00D3088C" w:rsidRPr="00D3088C" w:rsidTr="00D3088C">
        <w:trPr>
          <w:trHeight w:val="260"/>
        </w:trPr>
        <w:tc>
          <w:tcPr>
            <w:tcW w:w="36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3750"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809"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67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66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735"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 </w:t>
            </w:r>
          </w:p>
        </w:tc>
        <w:tc>
          <w:tcPr>
            <w:tcW w:w="90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49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r>
      <w:tr w:rsidR="00D3088C" w:rsidRPr="00D3088C" w:rsidTr="00D3088C">
        <w:trPr>
          <w:trHeight w:val="260"/>
        </w:trPr>
        <w:tc>
          <w:tcPr>
            <w:tcW w:w="36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2</w:t>
            </w:r>
          </w:p>
        </w:tc>
        <w:tc>
          <w:tcPr>
            <w:tcW w:w="3750" w:type="dxa"/>
            <w:vMerge w:val="restart"/>
            <w:tcBorders>
              <w:top w:val="nil"/>
              <w:left w:val="single" w:sz="4" w:space="0" w:color="auto"/>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 xml:space="preserve">Net increase in investments </w:t>
            </w:r>
          </w:p>
        </w:tc>
        <w:tc>
          <w:tcPr>
            <w:tcW w:w="8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6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50</w:t>
            </w:r>
          </w:p>
        </w:tc>
        <w:tc>
          <w:tcPr>
            <w:tcW w:w="7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50</w:t>
            </w: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 </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500</w:t>
            </w:r>
          </w:p>
        </w:tc>
        <w:tc>
          <w:tcPr>
            <w:tcW w:w="49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700</w:t>
            </w:r>
          </w:p>
        </w:tc>
      </w:tr>
      <w:tr w:rsidR="00D3088C" w:rsidRPr="00D3088C" w:rsidTr="00D3088C">
        <w:trPr>
          <w:trHeight w:val="260"/>
        </w:trPr>
        <w:tc>
          <w:tcPr>
            <w:tcW w:w="36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3750"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809"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67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66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735"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100</w:t>
            </w:r>
          </w:p>
        </w:tc>
        <w:tc>
          <w:tcPr>
            <w:tcW w:w="90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49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r>
      <w:tr w:rsidR="00D3088C" w:rsidRPr="00D3088C" w:rsidTr="00D3088C">
        <w:trPr>
          <w:trHeight w:val="260"/>
        </w:trPr>
        <w:tc>
          <w:tcPr>
            <w:tcW w:w="36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3</w:t>
            </w:r>
          </w:p>
        </w:tc>
        <w:tc>
          <w:tcPr>
            <w:tcW w:w="3750" w:type="dxa"/>
            <w:vMerge w:val="restart"/>
            <w:tcBorders>
              <w:top w:val="nil"/>
              <w:left w:val="single" w:sz="4" w:space="0" w:color="auto"/>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 xml:space="preserve">Inter-bank obligations </w:t>
            </w:r>
          </w:p>
        </w:tc>
        <w:tc>
          <w:tcPr>
            <w:tcW w:w="8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50</w:t>
            </w:r>
          </w:p>
        </w:tc>
        <w:tc>
          <w:tcPr>
            <w:tcW w:w="6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5</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150</w:t>
            </w:r>
          </w:p>
        </w:tc>
        <w:tc>
          <w:tcPr>
            <w:tcW w:w="7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45</w:t>
            </w:r>
          </w:p>
        </w:tc>
        <w:tc>
          <w:tcPr>
            <w:tcW w:w="49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250</w:t>
            </w:r>
          </w:p>
        </w:tc>
      </w:tr>
      <w:tr w:rsidR="00D3088C" w:rsidRPr="00D3088C" w:rsidTr="00D3088C">
        <w:trPr>
          <w:trHeight w:val="260"/>
        </w:trPr>
        <w:tc>
          <w:tcPr>
            <w:tcW w:w="36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3750"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809"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67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66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735"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90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49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r>
      <w:tr w:rsidR="00D3088C" w:rsidRPr="00D3088C" w:rsidTr="00D3088C">
        <w:trPr>
          <w:trHeight w:val="260"/>
        </w:trPr>
        <w:tc>
          <w:tcPr>
            <w:tcW w:w="36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4</w:t>
            </w:r>
          </w:p>
        </w:tc>
        <w:tc>
          <w:tcPr>
            <w:tcW w:w="3750" w:type="dxa"/>
            <w:vMerge w:val="restart"/>
            <w:tcBorders>
              <w:top w:val="nil"/>
              <w:left w:val="single" w:sz="4" w:space="0" w:color="auto"/>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 xml:space="preserve">Off balance sheet items (repos swaps, bills discounted) </w:t>
            </w:r>
          </w:p>
        </w:tc>
        <w:tc>
          <w:tcPr>
            <w:tcW w:w="8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50</w:t>
            </w:r>
          </w:p>
        </w:tc>
        <w:tc>
          <w:tcPr>
            <w:tcW w:w="6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10</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7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50</w:t>
            </w: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 </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140</w:t>
            </w:r>
          </w:p>
        </w:tc>
        <w:tc>
          <w:tcPr>
            <w:tcW w:w="49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300</w:t>
            </w:r>
          </w:p>
        </w:tc>
      </w:tr>
      <w:tr w:rsidR="00D3088C" w:rsidRPr="00D3088C" w:rsidTr="00D3088C">
        <w:trPr>
          <w:trHeight w:val="260"/>
        </w:trPr>
        <w:tc>
          <w:tcPr>
            <w:tcW w:w="36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3750"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809"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67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66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735"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50</w:t>
            </w:r>
          </w:p>
        </w:tc>
        <w:tc>
          <w:tcPr>
            <w:tcW w:w="90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49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r>
      <w:tr w:rsidR="00D3088C" w:rsidRPr="00D3088C" w:rsidTr="00D3088C">
        <w:trPr>
          <w:trHeight w:val="260"/>
        </w:trPr>
        <w:tc>
          <w:tcPr>
            <w:tcW w:w="36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5</w:t>
            </w:r>
          </w:p>
        </w:tc>
        <w:tc>
          <w:tcPr>
            <w:tcW w:w="3750" w:type="dxa"/>
            <w:vMerge w:val="restart"/>
            <w:tcBorders>
              <w:top w:val="nil"/>
              <w:left w:val="single" w:sz="4" w:space="0" w:color="auto"/>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 xml:space="preserve">Others </w:t>
            </w:r>
          </w:p>
        </w:tc>
        <w:tc>
          <w:tcPr>
            <w:tcW w:w="8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6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7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49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0</w:t>
            </w:r>
          </w:p>
        </w:tc>
      </w:tr>
      <w:tr w:rsidR="00D3088C" w:rsidRPr="00D3088C" w:rsidTr="00D3088C">
        <w:trPr>
          <w:trHeight w:val="260"/>
        </w:trPr>
        <w:tc>
          <w:tcPr>
            <w:tcW w:w="36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3750"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809"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67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66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735"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90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49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r>
      <w:tr w:rsidR="00D3088C" w:rsidRPr="00D3088C" w:rsidTr="00D3088C">
        <w:trPr>
          <w:trHeight w:val="450"/>
        </w:trPr>
        <w:tc>
          <w:tcPr>
            <w:tcW w:w="361" w:type="dxa"/>
            <w:vMerge w:val="restart"/>
            <w:tcBorders>
              <w:top w:val="nil"/>
              <w:left w:val="nil"/>
              <w:bottom w:val="nil"/>
              <w:right w:val="nil"/>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4"/>
                <w:szCs w:val="24"/>
                <w:lang w:eastAsia="en-IN"/>
              </w:rPr>
            </w:pPr>
            <w:r w:rsidRPr="00D3088C">
              <w:rPr>
                <w:rFonts w:ascii="Calibri" w:eastAsia="Times New Roman" w:hAnsi="Calibri" w:cs="Calibri"/>
                <w:noProof/>
                <w:color w:val="000000"/>
                <w:sz w:val="24"/>
                <w:szCs w:val="24"/>
                <w:lang w:eastAsia="en-IN"/>
              </w:rPr>
              <w:drawing>
                <wp:anchor distT="0" distB="0" distL="114300" distR="114300" simplePos="0" relativeHeight="251650048" behindDoc="0" locked="0" layoutInCell="1" allowOverlap="1">
                  <wp:simplePos x="0" y="0"/>
                  <wp:positionH relativeFrom="column">
                    <wp:posOffset>0</wp:posOffset>
                  </wp:positionH>
                  <wp:positionV relativeFrom="paragraph">
                    <wp:posOffset>330200</wp:posOffset>
                  </wp:positionV>
                  <wp:extent cx="190500" cy="12700"/>
                  <wp:effectExtent l="0" t="0" r="0" b="0"/>
                  <wp:wrapNone/>
                  <wp:docPr id="2" name="Picture 2" descr="page144image826538416">
                    <a:extLst xmlns:a="http://schemas.openxmlformats.org/drawingml/2006/main">
                      <a:ext uri="{FF2B5EF4-FFF2-40B4-BE49-F238E27FC236}">
                        <a16:creationId xmlns:a16="http://schemas.microsoft.com/office/drawing/2014/main" id="{9DEB6596-E6BF-9BCE-15CA-3A4497C5062B}"/>
                      </a:ext>
                    </a:extLst>
                  </wp:docPr>
                  <wp:cNvGraphicFramePr/>
                  <a:graphic xmlns:a="http://schemas.openxmlformats.org/drawingml/2006/main">
                    <a:graphicData uri="http://schemas.openxmlformats.org/drawingml/2006/picture">
                      <pic:pic xmlns:pic="http://schemas.openxmlformats.org/drawingml/2006/picture">
                        <pic:nvPicPr>
                          <pic:cNvPr id="2" name="Picture 1" descr="page144image826538416">
                            <a:extLst>
                              <a:ext uri="{FF2B5EF4-FFF2-40B4-BE49-F238E27FC236}">
                                <a16:creationId xmlns:a16="http://schemas.microsoft.com/office/drawing/2014/main" id="{9DEB6596-E6BF-9BCE-15CA-3A4497C5062B}"/>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3088C">
              <w:rPr>
                <w:rFonts w:ascii="Calibri" w:eastAsia="Times New Roman" w:hAnsi="Calibri" w:cs="Calibri"/>
                <w:noProof/>
                <w:color w:val="000000"/>
                <w:sz w:val="24"/>
                <w:szCs w:val="24"/>
                <w:lang w:eastAsia="en-IN"/>
              </w:rPr>
              <w:drawing>
                <wp:anchor distT="0" distB="0" distL="114300" distR="114300" simplePos="0" relativeHeight="251651072" behindDoc="0" locked="0" layoutInCell="1" allowOverlap="1">
                  <wp:simplePos x="0" y="0"/>
                  <wp:positionH relativeFrom="column">
                    <wp:posOffset>0</wp:posOffset>
                  </wp:positionH>
                  <wp:positionV relativeFrom="paragraph">
                    <wp:posOffset>330200</wp:posOffset>
                  </wp:positionV>
                  <wp:extent cx="190500" cy="12700"/>
                  <wp:effectExtent l="0" t="0" r="0" b="0"/>
                  <wp:wrapNone/>
                  <wp:docPr id="3" name="Picture 3" descr="page144image826538624">
                    <a:extLst xmlns:a="http://schemas.openxmlformats.org/drawingml/2006/main">
                      <a:ext uri="{FF2B5EF4-FFF2-40B4-BE49-F238E27FC236}">
                        <a16:creationId xmlns:a16="http://schemas.microsoft.com/office/drawing/2014/main" id="{00335360-939E-6B43-EBD9-8FD3DBAB654F}"/>
                      </a:ext>
                    </a:extLst>
                  </wp:docPr>
                  <wp:cNvGraphicFramePr/>
                  <a:graphic xmlns:a="http://schemas.openxmlformats.org/drawingml/2006/main">
                    <a:graphicData uri="http://schemas.openxmlformats.org/drawingml/2006/picture">
                      <pic:pic xmlns:pic="http://schemas.openxmlformats.org/drawingml/2006/picture">
                        <pic:nvPicPr>
                          <pic:cNvPr id="3" name="Picture 2" descr="page144image826538624">
                            <a:extLst>
                              <a:ext uri="{FF2B5EF4-FFF2-40B4-BE49-F238E27FC236}">
                                <a16:creationId xmlns:a16="http://schemas.microsoft.com/office/drawing/2014/main" id="{00335360-939E-6B43-EBD9-8FD3DBAB654F}"/>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3088C">
              <w:rPr>
                <w:rFonts w:ascii="Calibri" w:eastAsia="Times New Roman" w:hAnsi="Calibri" w:cs="Calibri"/>
                <w:noProof/>
                <w:color w:val="000000"/>
                <w:sz w:val="24"/>
                <w:szCs w:val="24"/>
                <w:lang w:eastAsia="en-IN"/>
              </w:rPr>
              <w:drawing>
                <wp:anchor distT="0" distB="0" distL="114300" distR="114300" simplePos="0" relativeHeight="251652096" behindDoc="0" locked="0" layoutInCell="1" allowOverlap="1">
                  <wp:simplePos x="0" y="0"/>
                  <wp:positionH relativeFrom="column">
                    <wp:posOffset>184150</wp:posOffset>
                  </wp:positionH>
                  <wp:positionV relativeFrom="paragraph">
                    <wp:posOffset>330200</wp:posOffset>
                  </wp:positionV>
                  <wp:extent cx="12700" cy="190500"/>
                  <wp:effectExtent l="0" t="0" r="0" b="0"/>
                  <wp:wrapNone/>
                  <wp:docPr id="6" name="Picture 6" descr="page144image826539248">
                    <a:extLst xmlns:a="http://schemas.openxmlformats.org/drawingml/2006/main">
                      <a:ext uri="{FF2B5EF4-FFF2-40B4-BE49-F238E27FC236}">
                        <a16:creationId xmlns:a16="http://schemas.microsoft.com/office/drawing/2014/main" id="{2C2AA038-71EB-5C1F-F84C-D898F537CFF4}"/>
                      </a:ext>
                    </a:extLst>
                  </wp:docPr>
                  <wp:cNvGraphicFramePr/>
                  <a:graphic xmlns:a="http://schemas.openxmlformats.org/drawingml/2006/main">
                    <a:graphicData uri="http://schemas.openxmlformats.org/drawingml/2006/picture">
                      <pic:pic xmlns:pic="http://schemas.openxmlformats.org/drawingml/2006/picture">
                        <pic:nvPicPr>
                          <pic:cNvPr id="6" name="Picture 5" descr="page144image826539248">
                            <a:extLst>
                              <a:ext uri="{FF2B5EF4-FFF2-40B4-BE49-F238E27FC236}">
                                <a16:creationId xmlns:a16="http://schemas.microsoft.com/office/drawing/2014/main" id="{2C2AA038-71EB-5C1F-F84C-D898F537CFF4}"/>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90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3088C">
              <w:rPr>
                <w:rFonts w:ascii="Calibri" w:eastAsia="Times New Roman" w:hAnsi="Calibri" w:cs="Calibri"/>
                <w:noProof/>
                <w:color w:val="000000"/>
                <w:sz w:val="24"/>
                <w:szCs w:val="24"/>
                <w:lang w:eastAsia="en-IN"/>
              </w:rPr>
              <w:drawing>
                <wp:anchor distT="0" distB="0" distL="114300" distR="114300" simplePos="0" relativeHeight="251653120" behindDoc="0" locked="0" layoutInCell="1" allowOverlap="1">
                  <wp:simplePos x="0" y="0"/>
                  <wp:positionH relativeFrom="column">
                    <wp:posOffset>184150</wp:posOffset>
                  </wp:positionH>
                  <wp:positionV relativeFrom="paragraph">
                    <wp:posOffset>330200</wp:posOffset>
                  </wp:positionV>
                  <wp:extent cx="12700" cy="190500"/>
                  <wp:effectExtent l="0" t="0" r="0" b="0"/>
                  <wp:wrapNone/>
                  <wp:docPr id="7" name="Picture 7" descr="page144image826539456">
                    <a:extLst xmlns:a="http://schemas.openxmlformats.org/drawingml/2006/main">
                      <a:ext uri="{FF2B5EF4-FFF2-40B4-BE49-F238E27FC236}">
                        <a16:creationId xmlns:a16="http://schemas.microsoft.com/office/drawing/2014/main" id="{4D01888D-A4CA-1C6B-6505-F5CFF54A4DAD}"/>
                      </a:ext>
                    </a:extLst>
                  </wp:docPr>
                  <wp:cNvGraphicFramePr/>
                  <a:graphic xmlns:a="http://schemas.openxmlformats.org/drawingml/2006/main">
                    <a:graphicData uri="http://schemas.openxmlformats.org/drawingml/2006/picture">
                      <pic:pic xmlns:pic="http://schemas.openxmlformats.org/drawingml/2006/picture">
                        <pic:nvPicPr>
                          <pic:cNvPr id="7" name="Picture 6" descr="page144image826539456">
                            <a:extLst>
                              <a:ext uri="{FF2B5EF4-FFF2-40B4-BE49-F238E27FC236}">
                                <a16:creationId xmlns:a16="http://schemas.microsoft.com/office/drawing/2014/main" id="{4D01888D-A4CA-1C6B-6505-F5CFF54A4DAD}"/>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90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3088C">
              <w:rPr>
                <w:rFonts w:ascii="Calibri" w:eastAsia="Times New Roman" w:hAnsi="Calibri" w:cs="Calibri"/>
                <w:noProof/>
                <w:color w:val="000000"/>
                <w:sz w:val="24"/>
                <w:szCs w:val="24"/>
                <w:lang w:eastAsia="en-IN"/>
              </w:rPr>
              <w:drawing>
                <wp:anchor distT="0" distB="0" distL="114300" distR="114300" simplePos="0" relativeHeight="251654144" behindDoc="0" locked="0" layoutInCell="1" allowOverlap="1">
                  <wp:simplePos x="0" y="0"/>
                  <wp:positionH relativeFrom="column">
                    <wp:posOffset>0</wp:posOffset>
                  </wp:positionH>
                  <wp:positionV relativeFrom="paragraph">
                    <wp:posOffset>330200</wp:posOffset>
                  </wp:positionV>
                  <wp:extent cx="12700" cy="190500"/>
                  <wp:effectExtent l="0" t="0" r="0" b="0"/>
                  <wp:wrapNone/>
                  <wp:docPr id="10" name="Picture 10" descr="page145image897299040">
                    <a:extLst xmlns:a="http://schemas.openxmlformats.org/drawingml/2006/main">
                      <a:ext uri="{FF2B5EF4-FFF2-40B4-BE49-F238E27FC236}">
                        <a16:creationId xmlns:a16="http://schemas.microsoft.com/office/drawing/2014/main" id="{539814B2-2A8C-3B42-B6C7-6C7098B5EC57}"/>
                      </a:ext>
                    </a:extLst>
                  </wp:docPr>
                  <wp:cNvGraphicFramePr/>
                  <a:graphic xmlns:a="http://schemas.openxmlformats.org/drawingml/2006/main">
                    <a:graphicData uri="http://schemas.openxmlformats.org/drawingml/2006/picture">
                      <pic:pic xmlns:pic="http://schemas.openxmlformats.org/drawingml/2006/picture">
                        <pic:nvPicPr>
                          <pic:cNvPr id="10" name="Picture 9" descr="page145image897299040">
                            <a:extLst>
                              <a:ext uri="{FF2B5EF4-FFF2-40B4-BE49-F238E27FC236}">
                                <a16:creationId xmlns:a16="http://schemas.microsoft.com/office/drawing/2014/main" id="{539814B2-2A8C-3B42-B6C7-6C7098B5EC57}"/>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90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3088C">
              <w:rPr>
                <w:rFonts w:ascii="Calibri" w:eastAsia="Times New Roman" w:hAnsi="Calibri" w:cs="Calibri"/>
                <w:noProof/>
                <w:color w:val="000000"/>
                <w:sz w:val="24"/>
                <w:szCs w:val="24"/>
                <w:lang w:eastAsia="en-IN"/>
              </w:rPr>
              <w:drawing>
                <wp:anchor distT="0" distB="0" distL="114300" distR="114300" simplePos="0" relativeHeight="251655168" behindDoc="0" locked="0" layoutInCell="1" allowOverlap="1">
                  <wp:simplePos x="0" y="0"/>
                  <wp:positionH relativeFrom="column">
                    <wp:posOffset>38100</wp:posOffset>
                  </wp:positionH>
                  <wp:positionV relativeFrom="paragraph">
                    <wp:posOffset>330200</wp:posOffset>
                  </wp:positionV>
                  <wp:extent cx="12700" cy="190500"/>
                  <wp:effectExtent l="0" t="0" r="0" b="0"/>
                  <wp:wrapNone/>
                  <wp:docPr id="12" name="Picture 12" descr="page145image897299456">
                    <a:extLst xmlns:a="http://schemas.openxmlformats.org/drawingml/2006/main">
                      <a:ext uri="{FF2B5EF4-FFF2-40B4-BE49-F238E27FC236}">
                        <a16:creationId xmlns:a16="http://schemas.microsoft.com/office/drawing/2014/main" id="{6F5FF6AA-33BB-62B0-E434-D15FD9A03D80}"/>
                      </a:ext>
                    </a:extLst>
                  </wp:docPr>
                  <wp:cNvGraphicFramePr/>
                  <a:graphic xmlns:a="http://schemas.openxmlformats.org/drawingml/2006/main">
                    <a:graphicData uri="http://schemas.openxmlformats.org/drawingml/2006/picture">
                      <pic:pic xmlns:pic="http://schemas.openxmlformats.org/drawingml/2006/picture">
                        <pic:nvPicPr>
                          <pic:cNvPr id="12" name="Picture 11" descr="page145image897299456">
                            <a:extLst>
                              <a:ext uri="{FF2B5EF4-FFF2-40B4-BE49-F238E27FC236}">
                                <a16:creationId xmlns:a16="http://schemas.microsoft.com/office/drawing/2014/main" id="{6F5FF6AA-33BB-62B0-E434-D15FD9A03D80}"/>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90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3088C">
              <w:rPr>
                <w:rFonts w:ascii="Calibri" w:eastAsia="Times New Roman" w:hAnsi="Calibri" w:cs="Calibri"/>
                <w:noProof/>
                <w:color w:val="000000"/>
                <w:sz w:val="24"/>
                <w:szCs w:val="24"/>
                <w:lang w:eastAsia="en-IN"/>
              </w:rPr>
              <w:drawing>
                <wp:anchor distT="0" distB="0" distL="114300" distR="114300" simplePos="0" relativeHeight="251656192" behindDoc="0" locked="0" layoutInCell="1" allowOverlap="1">
                  <wp:simplePos x="0" y="0"/>
                  <wp:positionH relativeFrom="column">
                    <wp:posOffset>76200</wp:posOffset>
                  </wp:positionH>
                  <wp:positionV relativeFrom="paragraph">
                    <wp:posOffset>330200</wp:posOffset>
                  </wp:positionV>
                  <wp:extent cx="190500" cy="12700"/>
                  <wp:effectExtent l="0" t="0" r="0" b="0"/>
                  <wp:wrapNone/>
                  <wp:docPr id="14" name="Picture 14" descr="page145image897299872">
                    <a:extLst xmlns:a="http://schemas.openxmlformats.org/drawingml/2006/main">
                      <a:ext uri="{FF2B5EF4-FFF2-40B4-BE49-F238E27FC236}">
                        <a16:creationId xmlns:a16="http://schemas.microsoft.com/office/drawing/2014/main" id="{6D0A821E-319B-B8B4-3EA2-D6F3DC4DA1BF}"/>
                      </a:ext>
                    </a:extLst>
                  </wp:docPr>
                  <wp:cNvGraphicFramePr/>
                  <a:graphic xmlns:a="http://schemas.openxmlformats.org/drawingml/2006/main">
                    <a:graphicData uri="http://schemas.openxmlformats.org/drawingml/2006/picture">
                      <pic:pic xmlns:pic="http://schemas.openxmlformats.org/drawingml/2006/picture">
                        <pic:nvPicPr>
                          <pic:cNvPr id="14" name="Picture 13" descr="page145image897299872">
                            <a:extLst>
                              <a:ext uri="{FF2B5EF4-FFF2-40B4-BE49-F238E27FC236}">
                                <a16:creationId xmlns:a16="http://schemas.microsoft.com/office/drawing/2014/main" id="{6D0A821E-319B-B8B4-3EA2-D6F3DC4DA1BF}"/>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3088C">
              <w:rPr>
                <w:rFonts w:ascii="Calibri" w:eastAsia="Times New Roman" w:hAnsi="Calibri" w:cs="Calibri"/>
                <w:noProof/>
                <w:color w:val="000000"/>
                <w:sz w:val="24"/>
                <w:szCs w:val="24"/>
                <w:lang w:eastAsia="en-IN"/>
              </w:rPr>
              <w:drawing>
                <wp:anchor distT="0" distB="0" distL="114300" distR="114300" simplePos="0" relativeHeight="251657216" behindDoc="0" locked="0" layoutInCell="1" allowOverlap="1">
                  <wp:simplePos x="0" y="0"/>
                  <wp:positionH relativeFrom="column">
                    <wp:posOffset>184150</wp:posOffset>
                  </wp:positionH>
                  <wp:positionV relativeFrom="paragraph">
                    <wp:posOffset>330200</wp:posOffset>
                  </wp:positionV>
                  <wp:extent cx="190500" cy="12700"/>
                  <wp:effectExtent l="0" t="0" r="0" b="0"/>
                  <wp:wrapNone/>
                  <wp:docPr id="15" name="Picture 15" descr="page145image897300080">
                    <a:extLst xmlns:a="http://schemas.openxmlformats.org/drawingml/2006/main">
                      <a:ext uri="{FF2B5EF4-FFF2-40B4-BE49-F238E27FC236}">
                        <a16:creationId xmlns:a16="http://schemas.microsoft.com/office/drawing/2014/main" id="{F2876492-B64B-2FE3-003C-D4B862E08F03}"/>
                      </a:ext>
                    </a:extLst>
                  </wp:docPr>
                  <wp:cNvGraphicFramePr/>
                  <a:graphic xmlns:a="http://schemas.openxmlformats.org/drawingml/2006/main">
                    <a:graphicData uri="http://schemas.openxmlformats.org/drawingml/2006/picture">
                      <pic:pic xmlns:pic="http://schemas.openxmlformats.org/drawingml/2006/picture">
                        <pic:nvPicPr>
                          <pic:cNvPr id="15" name="Picture 14" descr="page145image897300080">
                            <a:extLst>
                              <a:ext uri="{FF2B5EF4-FFF2-40B4-BE49-F238E27FC236}">
                                <a16:creationId xmlns:a16="http://schemas.microsoft.com/office/drawing/2014/main" id="{F2876492-B64B-2FE3-003C-D4B862E08F03}"/>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00"/>
            </w:tblGrid>
            <w:tr w:rsidR="00D3088C" w:rsidRPr="00D3088C">
              <w:trPr>
                <w:trHeight w:val="244"/>
                <w:tblCellSpacing w:w="0" w:type="dxa"/>
              </w:trPr>
              <w:tc>
                <w:tcPr>
                  <w:tcW w:w="3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r>
            <w:tr w:rsidR="00D3088C" w:rsidRPr="00D3088C">
              <w:trPr>
                <w:trHeight w:val="244"/>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r>
          </w:tbl>
          <w:p w:rsidR="00D3088C" w:rsidRPr="00D3088C" w:rsidRDefault="00D3088C" w:rsidP="00D3088C">
            <w:pPr>
              <w:spacing w:after="0" w:line="240" w:lineRule="auto"/>
              <w:rPr>
                <w:rFonts w:ascii="Calibri" w:eastAsia="Times New Roman" w:hAnsi="Calibri" w:cs="Calibri"/>
                <w:color w:val="000000"/>
                <w:sz w:val="24"/>
                <w:szCs w:val="24"/>
                <w:lang w:eastAsia="en-IN"/>
              </w:rPr>
            </w:pPr>
          </w:p>
        </w:tc>
        <w:tc>
          <w:tcPr>
            <w:tcW w:w="3750" w:type="dxa"/>
            <w:vMerge w:val="restart"/>
            <w:tcBorders>
              <w:top w:val="nil"/>
              <w:left w:val="single" w:sz="4" w:space="0" w:color="auto"/>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 xml:space="preserve">TOTAL OUTFLOWS </w:t>
            </w:r>
          </w:p>
        </w:tc>
        <w:tc>
          <w:tcPr>
            <w:tcW w:w="8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150</w:t>
            </w:r>
          </w:p>
        </w:tc>
        <w:tc>
          <w:tcPr>
            <w:tcW w:w="6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15</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200</w:t>
            </w:r>
          </w:p>
        </w:tc>
        <w:tc>
          <w:tcPr>
            <w:tcW w:w="7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150</w:t>
            </w:r>
          </w:p>
        </w:tc>
        <w:tc>
          <w:tcPr>
            <w:tcW w:w="84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150</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785</w:t>
            </w:r>
          </w:p>
        </w:tc>
        <w:tc>
          <w:tcPr>
            <w:tcW w:w="49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1450</w:t>
            </w:r>
          </w:p>
        </w:tc>
      </w:tr>
      <w:tr w:rsidR="00D3088C" w:rsidRPr="00D3088C" w:rsidTr="00D3088C">
        <w:trPr>
          <w:trHeight w:val="293"/>
        </w:trPr>
        <w:tc>
          <w:tcPr>
            <w:tcW w:w="361" w:type="dxa"/>
            <w:vMerge/>
            <w:tcBorders>
              <w:top w:val="nil"/>
              <w:left w:val="nil"/>
              <w:bottom w:val="nil"/>
              <w:right w:val="nil"/>
            </w:tcBorders>
            <w:vAlign w:val="center"/>
            <w:hideMark/>
          </w:tcPr>
          <w:p w:rsidR="00D3088C" w:rsidRPr="00D3088C" w:rsidRDefault="00D3088C" w:rsidP="00D3088C">
            <w:pPr>
              <w:spacing w:after="0" w:line="240" w:lineRule="auto"/>
              <w:rPr>
                <w:rFonts w:ascii="Calibri" w:eastAsia="Times New Roman" w:hAnsi="Calibri" w:cs="Calibri"/>
                <w:color w:val="000000"/>
                <w:sz w:val="24"/>
                <w:szCs w:val="24"/>
                <w:lang w:eastAsia="en-IN"/>
              </w:rPr>
            </w:pPr>
          </w:p>
        </w:tc>
        <w:tc>
          <w:tcPr>
            <w:tcW w:w="3750"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809"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67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66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735"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84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90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49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r>
      <w:tr w:rsidR="00D3088C" w:rsidRPr="00D3088C" w:rsidTr="00D3088C">
        <w:trPr>
          <w:trHeight w:val="260"/>
        </w:trPr>
        <w:tc>
          <w:tcPr>
            <w:tcW w:w="36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 xml:space="preserve">B </w:t>
            </w:r>
          </w:p>
        </w:tc>
        <w:tc>
          <w:tcPr>
            <w:tcW w:w="3750" w:type="dxa"/>
            <w:vMerge w:val="restart"/>
            <w:tcBorders>
              <w:top w:val="nil"/>
              <w:left w:val="single" w:sz="4" w:space="0" w:color="auto"/>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 xml:space="preserve">Inflows </w:t>
            </w:r>
          </w:p>
        </w:tc>
        <w:tc>
          <w:tcPr>
            <w:tcW w:w="8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6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7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49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r>
      <w:tr w:rsidR="00D3088C" w:rsidRPr="00D3088C" w:rsidTr="00D3088C">
        <w:trPr>
          <w:trHeight w:val="260"/>
        </w:trPr>
        <w:tc>
          <w:tcPr>
            <w:tcW w:w="36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3750"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809"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67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66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735"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90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49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r>
      <w:tr w:rsidR="00D3088C" w:rsidRPr="00D3088C" w:rsidTr="00D3088C">
        <w:trPr>
          <w:trHeight w:val="260"/>
        </w:trPr>
        <w:tc>
          <w:tcPr>
            <w:tcW w:w="36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1</w:t>
            </w:r>
          </w:p>
        </w:tc>
        <w:tc>
          <w:tcPr>
            <w:tcW w:w="3750" w:type="dxa"/>
            <w:vMerge w:val="restart"/>
            <w:tcBorders>
              <w:top w:val="nil"/>
              <w:left w:val="single" w:sz="4" w:space="0" w:color="auto"/>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 xml:space="preserve">Net cash position </w:t>
            </w:r>
          </w:p>
        </w:tc>
        <w:tc>
          <w:tcPr>
            <w:tcW w:w="8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5</w:t>
            </w:r>
          </w:p>
        </w:tc>
        <w:tc>
          <w:tcPr>
            <w:tcW w:w="6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5</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5</w:t>
            </w:r>
          </w:p>
        </w:tc>
        <w:tc>
          <w:tcPr>
            <w:tcW w:w="7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49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15</w:t>
            </w:r>
          </w:p>
        </w:tc>
      </w:tr>
      <w:tr w:rsidR="00D3088C" w:rsidRPr="00D3088C" w:rsidTr="00D3088C">
        <w:trPr>
          <w:trHeight w:val="260"/>
        </w:trPr>
        <w:tc>
          <w:tcPr>
            <w:tcW w:w="36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3750"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809"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67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66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735"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90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49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r>
      <w:tr w:rsidR="00D3088C" w:rsidRPr="00D3088C" w:rsidTr="00D3088C">
        <w:trPr>
          <w:trHeight w:val="260"/>
        </w:trPr>
        <w:tc>
          <w:tcPr>
            <w:tcW w:w="36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2</w:t>
            </w:r>
          </w:p>
        </w:tc>
        <w:tc>
          <w:tcPr>
            <w:tcW w:w="3750" w:type="dxa"/>
            <w:vMerge w:val="restart"/>
            <w:tcBorders>
              <w:top w:val="nil"/>
              <w:left w:val="nil"/>
              <w:bottom w:val="nil"/>
              <w:right w:val="nil"/>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4"/>
                <w:szCs w:val="24"/>
                <w:lang w:eastAsia="en-IN"/>
              </w:rPr>
            </w:pPr>
            <w:r w:rsidRPr="00D3088C">
              <w:rPr>
                <w:rFonts w:ascii="Calibri" w:eastAsia="Times New Roman" w:hAnsi="Calibri" w:cs="Calibri"/>
                <w:noProof/>
                <w:color w:val="000000"/>
                <w:sz w:val="24"/>
                <w:szCs w:val="24"/>
                <w:lang w:eastAsia="en-IN"/>
              </w:rPr>
              <w:drawing>
                <wp:anchor distT="0" distB="0" distL="114300" distR="114300" simplePos="0" relativeHeight="251658240" behindDoc="0" locked="0" layoutInCell="1" allowOverlap="1">
                  <wp:simplePos x="0" y="0"/>
                  <wp:positionH relativeFrom="column">
                    <wp:posOffset>19050</wp:posOffset>
                  </wp:positionH>
                  <wp:positionV relativeFrom="paragraph">
                    <wp:posOffset>323850</wp:posOffset>
                  </wp:positionV>
                  <wp:extent cx="190500" cy="0"/>
                  <wp:effectExtent l="0" t="0" r="0" b="0"/>
                  <wp:wrapNone/>
                  <wp:docPr id="4" name="Picture 4" descr="page144image826538832">
                    <a:extLst xmlns:a="http://schemas.openxmlformats.org/drawingml/2006/main">
                      <a:ext uri="{FF2B5EF4-FFF2-40B4-BE49-F238E27FC236}">
                        <a16:creationId xmlns:a16="http://schemas.microsoft.com/office/drawing/2014/main" id="{7E2069DC-041E-4F20-9B60-1BC8FCF3F60C}"/>
                      </a:ext>
                    </a:extLst>
                  </wp:docPr>
                  <wp:cNvGraphicFramePr/>
                  <a:graphic xmlns:a="http://schemas.openxmlformats.org/drawingml/2006/main">
                    <a:graphicData uri="http://schemas.openxmlformats.org/drawingml/2006/picture">
                      <pic:pic xmlns:pic="http://schemas.openxmlformats.org/drawingml/2006/picture">
                        <pic:nvPicPr>
                          <pic:cNvPr id="4" name="Picture 3" descr="page144image826538832">
                            <a:extLst>
                              <a:ext uri="{FF2B5EF4-FFF2-40B4-BE49-F238E27FC236}">
                                <a16:creationId xmlns:a16="http://schemas.microsoft.com/office/drawing/2014/main" id="{7E2069DC-041E-4F20-9B60-1BC8FCF3F60C}"/>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3088C">
              <w:rPr>
                <w:rFonts w:ascii="Calibri" w:eastAsia="Times New Roman" w:hAnsi="Calibri" w:cs="Calibri"/>
                <w:noProof/>
                <w:color w:val="000000"/>
                <w:sz w:val="24"/>
                <w:szCs w:val="24"/>
                <w:lang w:eastAsia="en-IN"/>
              </w:rPr>
              <w:drawing>
                <wp:anchor distT="0" distB="0" distL="114300" distR="114300" simplePos="0" relativeHeight="251659264" behindDoc="0" locked="0" layoutInCell="1" allowOverlap="1">
                  <wp:simplePos x="0" y="0"/>
                  <wp:positionH relativeFrom="column">
                    <wp:posOffset>222250</wp:posOffset>
                  </wp:positionH>
                  <wp:positionV relativeFrom="paragraph">
                    <wp:posOffset>323850</wp:posOffset>
                  </wp:positionV>
                  <wp:extent cx="190500" cy="0"/>
                  <wp:effectExtent l="0" t="0" r="0" b="0"/>
                  <wp:wrapNone/>
                  <wp:docPr id="5" name="Picture 5" descr="page144image826539040">
                    <a:extLst xmlns:a="http://schemas.openxmlformats.org/drawingml/2006/main">
                      <a:ext uri="{FF2B5EF4-FFF2-40B4-BE49-F238E27FC236}">
                        <a16:creationId xmlns:a16="http://schemas.microsoft.com/office/drawing/2014/main" id="{FE9B87C9-1042-A02E-7878-37908F2A494C}"/>
                      </a:ext>
                    </a:extLst>
                  </wp:docPr>
                  <wp:cNvGraphicFramePr/>
                  <a:graphic xmlns:a="http://schemas.openxmlformats.org/drawingml/2006/main">
                    <a:graphicData uri="http://schemas.openxmlformats.org/drawingml/2006/picture">
                      <pic:pic xmlns:pic="http://schemas.openxmlformats.org/drawingml/2006/picture">
                        <pic:nvPicPr>
                          <pic:cNvPr id="5" name="Picture 4" descr="page144image826539040">
                            <a:extLst>
                              <a:ext uri="{FF2B5EF4-FFF2-40B4-BE49-F238E27FC236}">
                                <a16:creationId xmlns:a16="http://schemas.microsoft.com/office/drawing/2014/main" id="{FE9B87C9-1042-A02E-7878-37908F2A494C}"/>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99"/>
            </w:tblGrid>
            <w:tr w:rsidR="00D3088C" w:rsidRPr="00D3088C">
              <w:trPr>
                <w:trHeight w:val="230"/>
                <w:tblCellSpacing w:w="0" w:type="dxa"/>
              </w:trPr>
              <w:tc>
                <w:tcPr>
                  <w:tcW w:w="3460" w:type="dxa"/>
                  <w:vMerge w:val="restart"/>
                  <w:tcBorders>
                    <w:top w:val="nil"/>
                    <w:left w:val="single" w:sz="4" w:space="0" w:color="auto"/>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 xml:space="preserve">Net increase in deposit (less CRR) </w:t>
                  </w:r>
                </w:p>
              </w:tc>
            </w:tr>
            <w:tr w:rsidR="00D3088C" w:rsidRPr="00D3088C">
              <w:trPr>
                <w:trHeight w:val="23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r>
          </w:tbl>
          <w:p w:rsidR="00D3088C" w:rsidRPr="00D3088C" w:rsidRDefault="00D3088C" w:rsidP="00D3088C">
            <w:pPr>
              <w:spacing w:after="0" w:line="240" w:lineRule="auto"/>
              <w:rPr>
                <w:rFonts w:ascii="Calibri" w:eastAsia="Times New Roman" w:hAnsi="Calibri" w:cs="Calibri"/>
                <w:color w:val="000000"/>
                <w:sz w:val="24"/>
                <w:szCs w:val="24"/>
                <w:lang w:eastAsia="en-IN"/>
              </w:rPr>
            </w:pPr>
          </w:p>
        </w:tc>
        <w:tc>
          <w:tcPr>
            <w:tcW w:w="8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6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200</w:t>
            </w:r>
          </w:p>
        </w:tc>
        <w:tc>
          <w:tcPr>
            <w:tcW w:w="7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100</w:t>
            </w: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 </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400</w:t>
            </w:r>
          </w:p>
        </w:tc>
        <w:tc>
          <w:tcPr>
            <w:tcW w:w="49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800</w:t>
            </w:r>
          </w:p>
        </w:tc>
      </w:tr>
      <w:tr w:rsidR="00D3088C" w:rsidRPr="00D3088C" w:rsidTr="00D3088C">
        <w:trPr>
          <w:trHeight w:val="260"/>
        </w:trPr>
        <w:tc>
          <w:tcPr>
            <w:tcW w:w="36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3750" w:type="dxa"/>
            <w:vMerge/>
            <w:tcBorders>
              <w:top w:val="nil"/>
              <w:left w:val="nil"/>
              <w:bottom w:val="nil"/>
              <w:right w:val="nil"/>
            </w:tcBorders>
            <w:vAlign w:val="center"/>
            <w:hideMark/>
          </w:tcPr>
          <w:p w:rsidR="00D3088C" w:rsidRPr="00D3088C" w:rsidRDefault="00D3088C" w:rsidP="00D3088C">
            <w:pPr>
              <w:spacing w:after="0" w:line="240" w:lineRule="auto"/>
              <w:rPr>
                <w:rFonts w:ascii="Calibri" w:eastAsia="Times New Roman" w:hAnsi="Calibri" w:cs="Calibri"/>
                <w:color w:val="000000"/>
                <w:sz w:val="24"/>
                <w:szCs w:val="24"/>
                <w:lang w:eastAsia="en-IN"/>
              </w:rPr>
            </w:pPr>
          </w:p>
        </w:tc>
        <w:tc>
          <w:tcPr>
            <w:tcW w:w="809"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67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66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735"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100</w:t>
            </w:r>
          </w:p>
        </w:tc>
        <w:tc>
          <w:tcPr>
            <w:tcW w:w="90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49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r>
      <w:tr w:rsidR="00D3088C" w:rsidRPr="00D3088C" w:rsidTr="00D3088C">
        <w:trPr>
          <w:trHeight w:val="260"/>
        </w:trPr>
        <w:tc>
          <w:tcPr>
            <w:tcW w:w="36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3</w:t>
            </w:r>
          </w:p>
        </w:tc>
        <w:tc>
          <w:tcPr>
            <w:tcW w:w="3750" w:type="dxa"/>
            <w:vMerge w:val="restart"/>
            <w:tcBorders>
              <w:top w:val="nil"/>
              <w:left w:val="nil"/>
              <w:bottom w:val="nil"/>
              <w:right w:val="nil"/>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4"/>
                <w:szCs w:val="24"/>
                <w:lang w:eastAsia="en-IN"/>
              </w:rPr>
            </w:pPr>
            <w:r w:rsidRPr="00D3088C">
              <w:rPr>
                <w:rFonts w:ascii="Calibri" w:eastAsia="Times New Roman" w:hAnsi="Calibri" w:cs="Calibri"/>
                <w:noProof/>
                <w:color w:val="000000"/>
                <w:sz w:val="24"/>
                <w:szCs w:val="24"/>
                <w:lang w:eastAsia="en-IN"/>
              </w:rPr>
              <w:drawing>
                <wp:anchor distT="0" distB="0" distL="114300" distR="114300" simplePos="0" relativeHeight="251660288" behindDoc="0" locked="0" layoutInCell="1" allowOverlap="1">
                  <wp:simplePos x="0" y="0"/>
                  <wp:positionH relativeFrom="column">
                    <wp:posOffset>476250</wp:posOffset>
                  </wp:positionH>
                  <wp:positionV relativeFrom="paragraph">
                    <wp:posOffset>-6350</wp:posOffset>
                  </wp:positionV>
                  <wp:extent cx="0" cy="190500"/>
                  <wp:effectExtent l="0" t="0" r="0" b="0"/>
                  <wp:wrapNone/>
                  <wp:docPr id="8" name="Picture 8" descr="page144image826539664">
                    <a:extLst xmlns:a="http://schemas.openxmlformats.org/drawingml/2006/main">
                      <a:ext uri="{FF2B5EF4-FFF2-40B4-BE49-F238E27FC236}">
                        <a16:creationId xmlns:a16="http://schemas.microsoft.com/office/drawing/2014/main" id="{04BF0D21-C6C4-8A78-3990-CCB34DF8FED4}"/>
                      </a:ext>
                    </a:extLst>
                  </wp:docPr>
                  <wp:cNvGraphicFramePr/>
                  <a:graphic xmlns:a="http://schemas.openxmlformats.org/drawingml/2006/main">
                    <a:graphicData uri="http://schemas.openxmlformats.org/drawingml/2006/picture">
                      <pic:pic xmlns:pic="http://schemas.openxmlformats.org/drawingml/2006/picture">
                        <pic:nvPicPr>
                          <pic:cNvPr id="8" name="Picture 7" descr="page144image826539664">
                            <a:extLst>
                              <a:ext uri="{FF2B5EF4-FFF2-40B4-BE49-F238E27FC236}">
                                <a16:creationId xmlns:a16="http://schemas.microsoft.com/office/drawing/2014/main" id="{04BF0D21-C6C4-8A78-3990-CCB34DF8FED4}"/>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190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3088C">
              <w:rPr>
                <w:rFonts w:ascii="Calibri" w:eastAsia="Times New Roman" w:hAnsi="Calibri" w:cs="Calibri"/>
                <w:noProof/>
                <w:color w:val="000000"/>
                <w:sz w:val="24"/>
                <w:szCs w:val="24"/>
                <w:lang w:eastAsia="en-IN"/>
              </w:rPr>
              <w:drawing>
                <wp:anchor distT="0" distB="0" distL="114300" distR="114300" simplePos="0" relativeHeight="251661312" behindDoc="0" locked="0" layoutInCell="1" allowOverlap="1">
                  <wp:simplePos x="0" y="0"/>
                  <wp:positionH relativeFrom="column">
                    <wp:posOffset>488950</wp:posOffset>
                  </wp:positionH>
                  <wp:positionV relativeFrom="paragraph">
                    <wp:posOffset>-6350</wp:posOffset>
                  </wp:positionV>
                  <wp:extent cx="0" cy="190500"/>
                  <wp:effectExtent l="0" t="0" r="0" b="0"/>
                  <wp:wrapNone/>
                  <wp:docPr id="9" name="Picture 9" descr="page144image826474496">
                    <a:extLst xmlns:a="http://schemas.openxmlformats.org/drawingml/2006/main">
                      <a:ext uri="{FF2B5EF4-FFF2-40B4-BE49-F238E27FC236}">
                        <a16:creationId xmlns:a16="http://schemas.microsoft.com/office/drawing/2014/main" id="{D331B118-E568-FFA9-7E23-E167EBBF71D8}"/>
                      </a:ext>
                    </a:extLst>
                  </wp:docPr>
                  <wp:cNvGraphicFramePr/>
                  <a:graphic xmlns:a="http://schemas.openxmlformats.org/drawingml/2006/main">
                    <a:graphicData uri="http://schemas.openxmlformats.org/drawingml/2006/picture">
                      <pic:pic xmlns:pic="http://schemas.openxmlformats.org/drawingml/2006/picture">
                        <pic:nvPicPr>
                          <pic:cNvPr id="9" name="Picture 8" descr="page144image826474496">
                            <a:extLst>
                              <a:ext uri="{FF2B5EF4-FFF2-40B4-BE49-F238E27FC236}">
                                <a16:creationId xmlns:a16="http://schemas.microsoft.com/office/drawing/2014/main" id="{D331B118-E568-FFA9-7E23-E167EBBF71D8}"/>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190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99"/>
            </w:tblGrid>
            <w:tr w:rsidR="00D3088C" w:rsidRPr="00D3088C">
              <w:trPr>
                <w:trHeight w:val="230"/>
                <w:tblCellSpacing w:w="0" w:type="dxa"/>
              </w:trPr>
              <w:tc>
                <w:tcPr>
                  <w:tcW w:w="3460" w:type="dxa"/>
                  <w:vMerge w:val="restart"/>
                  <w:tcBorders>
                    <w:top w:val="nil"/>
                    <w:left w:val="single" w:sz="4" w:space="0" w:color="auto"/>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 xml:space="preserve">Interest on investments </w:t>
                  </w:r>
                </w:p>
              </w:tc>
            </w:tr>
            <w:tr w:rsidR="00D3088C" w:rsidRPr="00D3088C">
              <w:trPr>
                <w:trHeight w:val="23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r>
          </w:tbl>
          <w:p w:rsidR="00D3088C" w:rsidRPr="00D3088C" w:rsidRDefault="00D3088C" w:rsidP="00D3088C">
            <w:pPr>
              <w:spacing w:after="0" w:line="240" w:lineRule="auto"/>
              <w:rPr>
                <w:rFonts w:ascii="Calibri" w:eastAsia="Times New Roman" w:hAnsi="Calibri" w:cs="Calibri"/>
                <w:color w:val="000000"/>
                <w:sz w:val="24"/>
                <w:szCs w:val="24"/>
                <w:lang w:eastAsia="en-IN"/>
              </w:rPr>
            </w:pPr>
          </w:p>
        </w:tc>
        <w:tc>
          <w:tcPr>
            <w:tcW w:w="8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6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50</w:t>
            </w:r>
          </w:p>
        </w:tc>
        <w:tc>
          <w:tcPr>
            <w:tcW w:w="7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0</w:t>
            </w: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 </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150</w:t>
            </w:r>
          </w:p>
        </w:tc>
        <w:tc>
          <w:tcPr>
            <w:tcW w:w="49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400</w:t>
            </w:r>
          </w:p>
        </w:tc>
      </w:tr>
      <w:tr w:rsidR="00D3088C" w:rsidRPr="00D3088C" w:rsidTr="00D3088C">
        <w:trPr>
          <w:trHeight w:val="260"/>
        </w:trPr>
        <w:tc>
          <w:tcPr>
            <w:tcW w:w="36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3750" w:type="dxa"/>
            <w:vMerge/>
            <w:tcBorders>
              <w:top w:val="nil"/>
              <w:left w:val="nil"/>
              <w:bottom w:val="nil"/>
              <w:right w:val="nil"/>
            </w:tcBorders>
            <w:vAlign w:val="center"/>
            <w:hideMark/>
          </w:tcPr>
          <w:p w:rsidR="00D3088C" w:rsidRPr="00D3088C" w:rsidRDefault="00D3088C" w:rsidP="00D3088C">
            <w:pPr>
              <w:spacing w:after="0" w:line="240" w:lineRule="auto"/>
              <w:rPr>
                <w:rFonts w:ascii="Calibri" w:eastAsia="Times New Roman" w:hAnsi="Calibri" w:cs="Calibri"/>
                <w:color w:val="000000"/>
                <w:sz w:val="24"/>
                <w:szCs w:val="24"/>
                <w:lang w:eastAsia="en-IN"/>
              </w:rPr>
            </w:pPr>
          </w:p>
        </w:tc>
        <w:tc>
          <w:tcPr>
            <w:tcW w:w="809"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67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66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735"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200</w:t>
            </w:r>
          </w:p>
        </w:tc>
        <w:tc>
          <w:tcPr>
            <w:tcW w:w="90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49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r>
      <w:tr w:rsidR="00D3088C" w:rsidRPr="00D3088C" w:rsidTr="00D3088C">
        <w:trPr>
          <w:trHeight w:val="260"/>
        </w:trPr>
        <w:tc>
          <w:tcPr>
            <w:tcW w:w="36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4</w:t>
            </w:r>
          </w:p>
        </w:tc>
        <w:tc>
          <w:tcPr>
            <w:tcW w:w="3750" w:type="dxa"/>
            <w:vMerge w:val="restart"/>
            <w:tcBorders>
              <w:top w:val="nil"/>
              <w:left w:val="single" w:sz="4" w:space="0" w:color="auto"/>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 xml:space="preserve">Inter-bank claims </w:t>
            </w:r>
          </w:p>
        </w:tc>
        <w:tc>
          <w:tcPr>
            <w:tcW w:w="8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100</w:t>
            </w:r>
          </w:p>
        </w:tc>
        <w:tc>
          <w:tcPr>
            <w:tcW w:w="6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7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15</w:t>
            </w:r>
          </w:p>
        </w:tc>
        <w:tc>
          <w:tcPr>
            <w:tcW w:w="49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115</w:t>
            </w:r>
          </w:p>
        </w:tc>
      </w:tr>
      <w:tr w:rsidR="00D3088C" w:rsidRPr="00D3088C" w:rsidTr="00D3088C">
        <w:trPr>
          <w:trHeight w:val="260"/>
        </w:trPr>
        <w:tc>
          <w:tcPr>
            <w:tcW w:w="36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3750"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809"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67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66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735"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90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49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r>
      <w:tr w:rsidR="00D3088C" w:rsidRPr="00D3088C" w:rsidTr="00D3088C">
        <w:trPr>
          <w:trHeight w:val="260"/>
        </w:trPr>
        <w:tc>
          <w:tcPr>
            <w:tcW w:w="361" w:type="dxa"/>
            <w:vMerge w:val="restart"/>
            <w:tcBorders>
              <w:top w:val="nil"/>
              <w:left w:val="nil"/>
              <w:bottom w:val="nil"/>
              <w:right w:val="nil"/>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4"/>
                <w:szCs w:val="24"/>
                <w:lang w:eastAsia="en-IN"/>
              </w:rPr>
            </w:pPr>
            <w:r w:rsidRPr="00D3088C">
              <w:rPr>
                <w:rFonts w:ascii="Calibri" w:eastAsia="Times New Roman" w:hAnsi="Calibri" w:cs="Calibri"/>
                <w:noProof/>
                <w:color w:val="000000"/>
                <w:sz w:val="24"/>
                <w:szCs w:val="24"/>
                <w:lang w:eastAsia="en-IN"/>
              </w:rPr>
              <w:drawing>
                <wp:anchor distT="0" distB="0" distL="114300" distR="114300" simplePos="0" relativeHeight="251662336" behindDoc="0" locked="0" layoutInCell="1" allowOverlap="1">
                  <wp:simplePos x="0" y="0"/>
                  <wp:positionH relativeFrom="column">
                    <wp:posOffset>25400</wp:posOffset>
                  </wp:positionH>
                  <wp:positionV relativeFrom="paragraph">
                    <wp:posOffset>146050</wp:posOffset>
                  </wp:positionV>
                  <wp:extent cx="0" cy="190500"/>
                  <wp:effectExtent l="0" t="0" r="0" b="0"/>
                  <wp:wrapNone/>
                  <wp:docPr id="11" name="Picture 11" descr="page145image897299248">
                    <a:extLst xmlns:a="http://schemas.openxmlformats.org/drawingml/2006/main">
                      <a:ext uri="{FF2B5EF4-FFF2-40B4-BE49-F238E27FC236}">
                        <a16:creationId xmlns:a16="http://schemas.microsoft.com/office/drawing/2014/main" id="{8C0F4DE0-24E6-DF6C-EEB4-F2D4EA35B1B6}"/>
                      </a:ext>
                    </a:extLst>
                  </wp:docPr>
                  <wp:cNvGraphicFramePr/>
                  <a:graphic xmlns:a="http://schemas.openxmlformats.org/drawingml/2006/main">
                    <a:graphicData uri="http://schemas.openxmlformats.org/drawingml/2006/picture">
                      <pic:pic xmlns:pic="http://schemas.openxmlformats.org/drawingml/2006/picture">
                        <pic:nvPicPr>
                          <pic:cNvPr id="11" name="Picture 10" descr="page145image897299248">
                            <a:extLst>
                              <a:ext uri="{FF2B5EF4-FFF2-40B4-BE49-F238E27FC236}">
                                <a16:creationId xmlns:a16="http://schemas.microsoft.com/office/drawing/2014/main" id="{8C0F4DE0-24E6-DF6C-EEB4-F2D4EA35B1B6}"/>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190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3088C">
              <w:rPr>
                <w:rFonts w:ascii="Calibri" w:eastAsia="Times New Roman" w:hAnsi="Calibri" w:cs="Calibri"/>
                <w:noProof/>
                <w:color w:val="000000"/>
                <w:sz w:val="24"/>
                <w:szCs w:val="24"/>
                <w:lang w:eastAsia="en-IN"/>
              </w:rPr>
              <w:drawing>
                <wp:anchor distT="0" distB="0" distL="114300" distR="114300" simplePos="0" relativeHeight="251663360" behindDoc="0" locked="0" layoutInCell="1" allowOverlap="1">
                  <wp:simplePos x="0" y="0"/>
                  <wp:positionH relativeFrom="column">
                    <wp:posOffset>63500</wp:posOffset>
                  </wp:positionH>
                  <wp:positionV relativeFrom="paragraph">
                    <wp:posOffset>146050</wp:posOffset>
                  </wp:positionV>
                  <wp:extent cx="0" cy="190500"/>
                  <wp:effectExtent l="0" t="0" r="0" b="0"/>
                  <wp:wrapNone/>
                  <wp:docPr id="13" name="Picture 13" descr="page145image897299664">
                    <a:extLst xmlns:a="http://schemas.openxmlformats.org/drawingml/2006/main">
                      <a:ext uri="{FF2B5EF4-FFF2-40B4-BE49-F238E27FC236}">
                        <a16:creationId xmlns:a16="http://schemas.microsoft.com/office/drawing/2014/main" id="{37249FD4-9E1D-C501-41A3-56D31CD76B4D}"/>
                      </a:ext>
                    </a:extLst>
                  </wp:docPr>
                  <wp:cNvGraphicFramePr/>
                  <a:graphic xmlns:a="http://schemas.openxmlformats.org/drawingml/2006/main">
                    <a:graphicData uri="http://schemas.openxmlformats.org/drawingml/2006/picture">
                      <pic:pic xmlns:pic="http://schemas.openxmlformats.org/drawingml/2006/picture">
                        <pic:nvPicPr>
                          <pic:cNvPr id="13" name="Picture 12" descr="page145image897299664">
                            <a:extLst>
                              <a:ext uri="{FF2B5EF4-FFF2-40B4-BE49-F238E27FC236}">
                                <a16:creationId xmlns:a16="http://schemas.microsoft.com/office/drawing/2014/main" id="{37249FD4-9E1D-C501-41A3-56D31CD76B4D}"/>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190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00"/>
            </w:tblGrid>
            <w:tr w:rsidR="00D3088C" w:rsidRPr="00D3088C">
              <w:trPr>
                <w:trHeight w:val="230"/>
                <w:tblCellSpacing w:w="0" w:type="dxa"/>
              </w:trPr>
              <w:tc>
                <w:tcPr>
                  <w:tcW w:w="3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5</w:t>
                  </w:r>
                </w:p>
              </w:tc>
            </w:tr>
            <w:tr w:rsidR="00D3088C" w:rsidRPr="00D3088C">
              <w:trPr>
                <w:trHeight w:val="23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r>
          </w:tbl>
          <w:p w:rsidR="00D3088C" w:rsidRPr="00D3088C" w:rsidRDefault="00D3088C" w:rsidP="00D3088C">
            <w:pPr>
              <w:spacing w:after="0" w:line="240" w:lineRule="auto"/>
              <w:rPr>
                <w:rFonts w:ascii="Calibri" w:eastAsia="Times New Roman" w:hAnsi="Calibri" w:cs="Calibri"/>
                <w:color w:val="000000"/>
                <w:sz w:val="24"/>
                <w:szCs w:val="24"/>
                <w:lang w:eastAsia="en-IN"/>
              </w:rPr>
            </w:pPr>
          </w:p>
        </w:tc>
        <w:tc>
          <w:tcPr>
            <w:tcW w:w="3750" w:type="dxa"/>
            <w:vMerge w:val="restart"/>
            <w:tcBorders>
              <w:top w:val="nil"/>
              <w:left w:val="nil"/>
              <w:bottom w:val="nil"/>
              <w:right w:val="nil"/>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4"/>
                <w:szCs w:val="24"/>
                <w:lang w:eastAsia="en-IN"/>
              </w:rPr>
            </w:pPr>
            <w:r w:rsidRPr="00D3088C">
              <w:rPr>
                <w:rFonts w:ascii="Calibri" w:eastAsia="Times New Roman" w:hAnsi="Calibri" w:cs="Calibri"/>
                <w:noProof/>
                <w:color w:val="000000"/>
                <w:sz w:val="24"/>
                <w:szCs w:val="24"/>
                <w:lang w:eastAsia="en-IN"/>
              </w:rPr>
              <w:lastRenderedPageBreak/>
              <w:drawing>
                <wp:anchor distT="0" distB="0" distL="114300" distR="114300" simplePos="0" relativeHeight="251664384" behindDoc="0" locked="0" layoutInCell="1" allowOverlap="1">
                  <wp:simplePos x="0" y="0"/>
                  <wp:positionH relativeFrom="column">
                    <wp:posOffset>298450</wp:posOffset>
                  </wp:positionH>
                  <wp:positionV relativeFrom="paragraph">
                    <wp:posOffset>146050</wp:posOffset>
                  </wp:positionV>
                  <wp:extent cx="190500" cy="0"/>
                  <wp:effectExtent l="0" t="0" r="0" b="0"/>
                  <wp:wrapNone/>
                  <wp:docPr id="16" name="Picture 16" descr="page145image897300288">
                    <a:extLst xmlns:a="http://schemas.openxmlformats.org/drawingml/2006/main">
                      <a:ext uri="{FF2B5EF4-FFF2-40B4-BE49-F238E27FC236}">
                        <a16:creationId xmlns:a16="http://schemas.microsoft.com/office/drawing/2014/main" id="{246C9F73-CE4D-D985-46BC-244F7C872E01}"/>
                      </a:ext>
                    </a:extLst>
                  </wp:docPr>
                  <wp:cNvGraphicFramePr/>
                  <a:graphic xmlns:a="http://schemas.openxmlformats.org/drawingml/2006/main">
                    <a:graphicData uri="http://schemas.openxmlformats.org/drawingml/2006/picture">
                      <pic:pic xmlns:pic="http://schemas.openxmlformats.org/drawingml/2006/picture">
                        <pic:nvPicPr>
                          <pic:cNvPr id="16" name="Picture 15" descr="page145image897300288">
                            <a:extLst>
                              <a:ext uri="{FF2B5EF4-FFF2-40B4-BE49-F238E27FC236}">
                                <a16:creationId xmlns:a16="http://schemas.microsoft.com/office/drawing/2014/main" id="{246C9F73-CE4D-D985-46BC-244F7C872E0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3088C">
              <w:rPr>
                <w:rFonts w:ascii="Calibri" w:eastAsia="Times New Roman" w:hAnsi="Calibri" w:cs="Calibri"/>
                <w:noProof/>
                <w:color w:val="000000"/>
                <w:sz w:val="24"/>
                <w:szCs w:val="24"/>
                <w:lang w:eastAsia="en-IN"/>
              </w:rPr>
              <w:drawing>
                <wp:anchor distT="0" distB="0" distL="114300" distR="114300" simplePos="0" relativeHeight="251665408" behindDoc="0" locked="0" layoutInCell="1" allowOverlap="1">
                  <wp:simplePos x="0" y="0"/>
                  <wp:positionH relativeFrom="column">
                    <wp:posOffset>501650</wp:posOffset>
                  </wp:positionH>
                  <wp:positionV relativeFrom="paragraph">
                    <wp:posOffset>146050</wp:posOffset>
                  </wp:positionV>
                  <wp:extent cx="190500" cy="0"/>
                  <wp:effectExtent l="0" t="0" r="0" b="0"/>
                  <wp:wrapNone/>
                  <wp:docPr id="17" name="Picture 17" descr="page145image897300496">
                    <a:extLst xmlns:a="http://schemas.openxmlformats.org/drawingml/2006/main">
                      <a:ext uri="{FF2B5EF4-FFF2-40B4-BE49-F238E27FC236}">
                        <a16:creationId xmlns:a16="http://schemas.microsoft.com/office/drawing/2014/main" id="{DA29E02B-8CAE-5608-0B89-36BE7320B1CF}"/>
                      </a:ext>
                    </a:extLst>
                  </wp:docPr>
                  <wp:cNvGraphicFramePr/>
                  <a:graphic xmlns:a="http://schemas.openxmlformats.org/drawingml/2006/main">
                    <a:graphicData uri="http://schemas.openxmlformats.org/drawingml/2006/picture">
                      <pic:pic xmlns:pic="http://schemas.openxmlformats.org/drawingml/2006/picture">
                        <pic:nvPicPr>
                          <pic:cNvPr id="17" name="Picture 16" descr="page145image897300496">
                            <a:extLst>
                              <a:ext uri="{FF2B5EF4-FFF2-40B4-BE49-F238E27FC236}">
                                <a16:creationId xmlns:a16="http://schemas.microsoft.com/office/drawing/2014/main" id="{DA29E02B-8CAE-5608-0B89-36BE7320B1CF}"/>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99"/>
            </w:tblGrid>
            <w:tr w:rsidR="00D3088C" w:rsidRPr="00D3088C">
              <w:trPr>
                <w:trHeight w:val="230"/>
                <w:tblCellSpacing w:w="0" w:type="dxa"/>
              </w:trPr>
              <w:tc>
                <w:tcPr>
                  <w:tcW w:w="3460" w:type="dxa"/>
                  <w:vMerge w:val="restart"/>
                  <w:tcBorders>
                    <w:top w:val="nil"/>
                    <w:left w:val="single" w:sz="4" w:space="0" w:color="auto"/>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 xml:space="preserve">Refinance eligibility (Export credit) </w:t>
                  </w:r>
                </w:p>
              </w:tc>
            </w:tr>
            <w:tr w:rsidR="00D3088C" w:rsidRPr="00D3088C">
              <w:trPr>
                <w:trHeight w:val="23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r>
          </w:tbl>
          <w:p w:rsidR="00D3088C" w:rsidRPr="00D3088C" w:rsidRDefault="00D3088C" w:rsidP="00D3088C">
            <w:pPr>
              <w:spacing w:after="0" w:line="240" w:lineRule="auto"/>
              <w:rPr>
                <w:rFonts w:ascii="Calibri" w:eastAsia="Times New Roman" w:hAnsi="Calibri" w:cs="Calibri"/>
                <w:color w:val="000000"/>
                <w:sz w:val="24"/>
                <w:szCs w:val="24"/>
                <w:lang w:eastAsia="en-IN"/>
              </w:rPr>
            </w:pPr>
          </w:p>
        </w:tc>
        <w:tc>
          <w:tcPr>
            <w:tcW w:w="8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lastRenderedPageBreak/>
              <w:t> </w:t>
            </w:r>
          </w:p>
        </w:tc>
        <w:tc>
          <w:tcPr>
            <w:tcW w:w="6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7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100</w:t>
            </w:r>
          </w:p>
        </w:tc>
        <w:tc>
          <w:tcPr>
            <w:tcW w:w="49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100</w:t>
            </w:r>
          </w:p>
        </w:tc>
      </w:tr>
      <w:tr w:rsidR="00D3088C" w:rsidRPr="00D3088C" w:rsidTr="00D3088C">
        <w:trPr>
          <w:trHeight w:val="260"/>
        </w:trPr>
        <w:tc>
          <w:tcPr>
            <w:tcW w:w="361" w:type="dxa"/>
            <w:vMerge/>
            <w:tcBorders>
              <w:top w:val="nil"/>
              <w:left w:val="nil"/>
              <w:bottom w:val="nil"/>
              <w:right w:val="nil"/>
            </w:tcBorders>
            <w:vAlign w:val="center"/>
            <w:hideMark/>
          </w:tcPr>
          <w:p w:rsidR="00D3088C" w:rsidRPr="00D3088C" w:rsidRDefault="00D3088C" w:rsidP="00D3088C">
            <w:pPr>
              <w:spacing w:after="0" w:line="240" w:lineRule="auto"/>
              <w:rPr>
                <w:rFonts w:ascii="Calibri" w:eastAsia="Times New Roman" w:hAnsi="Calibri" w:cs="Calibri"/>
                <w:color w:val="000000"/>
                <w:sz w:val="24"/>
                <w:szCs w:val="24"/>
                <w:lang w:eastAsia="en-IN"/>
              </w:rPr>
            </w:pPr>
          </w:p>
        </w:tc>
        <w:tc>
          <w:tcPr>
            <w:tcW w:w="3750" w:type="dxa"/>
            <w:vMerge/>
            <w:tcBorders>
              <w:top w:val="nil"/>
              <w:left w:val="nil"/>
              <w:bottom w:val="nil"/>
              <w:right w:val="nil"/>
            </w:tcBorders>
            <w:vAlign w:val="center"/>
            <w:hideMark/>
          </w:tcPr>
          <w:p w:rsidR="00D3088C" w:rsidRPr="00D3088C" w:rsidRDefault="00D3088C" w:rsidP="00D3088C">
            <w:pPr>
              <w:spacing w:after="0" w:line="240" w:lineRule="auto"/>
              <w:rPr>
                <w:rFonts w:ascii="Calibri" w:eastAsia="Times New Roman" w:hAnsi="Calibri" w:cs="Calibri"/>
                <w:color w:val="000000"/>
                <w:sz w:val="24"/>
                <w:szCs w:val="24"/>
                <w:lang w:eastAsia="en-IN"/>
              </w:rPr>
            </w:pPr>
          </w:p>
        </w:tc>
        <w:tc>
          <w:tcPr>
            <w:tcW w:w="809"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67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66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735"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90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49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r>
      <w:tr w:rsidR="00D3088C" w:rsidRPr="00D3088C" w:rsidTr="00D3088C">
        <w:trPr>
          <w:trHeight w:val="260"/>
        </w:trPr>
        <w:tc>
          <w:tcPr>
            <w:tcW w:w="36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lastRenderedPageBreak/>
              <w:t>6</w:t>
            </w:r>
          </w:p>
        </w:tc>
        <w:tc>
          <w:tcPr>
            <w:tcW w:w="3750" w:type="dxa"/>
            <w:vMerge w:val="restart"/>
            <w:tcBorders>
              <w:top w:val="nil"/>
              <w:left w:val="single" w:sz="4" w:space="0" w:color="auto"/>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 xml:space="preserve">Off balance sheet items (Reverse repos, swaps, bills discounted) </w:t>
            </w:r>
          </w:p>
        </w:tc>
        <w:tc>
          <w:tcPr>
            <w:tcW w:w="8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50</w:t>
            </w:r>
          </w:p>
        </w:tc>
        <w:tc>
          <w:tcPr>
            <w:tcW w:w="6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50</w:t>
            </w:r>
          </w:p>
        </w:tc>
        <w:tc>
          <w:tcPr>
            <w:tcW w:w="7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100</w:t>
            </w: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 </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49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200</w:t>
            </w:r>
          </w:p>
        </w:tc>
      </w:tr>
      <w:tr w:rsidR="00D3088C" w:rsidRPr="00D3088C" w:rsidTr="00D3088C">
        <w:trPr>
          <w:trHeight w:val="260"/>
        </w:trPr>
        <w:tc>
          <w:tcPr>
            <w:tcW w:w="36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3750"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809"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67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66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735"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0</w:t>
            </w:r>
          </w:p>
        </w:tc>
        <w:tc>
          <w:tcPr>
            <w:tcW w:w="90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49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r>
      <w:tr w:rsidR="00D3088C" w:rsidRPr="00D3088C" w:rsidTr="00D3088C">
        <w:trPr>
          <w:trHeight w:val="260"/>
        </w:trPr>
        <w:tc>
          <w:tcPr>
            <w:tcW w:w="36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7</w:t>
            </w:r>
          </w:p>
        </w:tc>
        <w:tc>
          <w:tcPr>
            <w:tcW w:w="3750" w:type="dxa"/>
            <w:vMerge w:val="restart"/>
            <w:tcBorders>
              <w:top w:val="nil"/>
              <w:left w:val="single" w:sz="4" w:space="0" w:color="auto"/>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 xml:space="preserve">Others </w:t>
            </w:r>
          </w:p>
        </w:tc>
        <w:tc>
          <w:tcPr>
            <w:tcW w:w="8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6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7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49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color w:val="000000"/>
                <w:sz w:val="20"/>
                <w:szCs w:val="20"/>
                <w:lang w:eastAsia="en-IN"/>
              </w:rPr>
            </w:pPr>
            <w:r w:rsidRPr="00D3088C">
              <w:rPr>
                <w:rFonts w:ascii="Helvetica" w:eastAsia="Times New Roman" w:hAnsi="Helvetica" w:cs="Calibri"/>
                <w:color w:val="000000"/>
                <w:sz w:val="20"/>
                <w:szCs w:val="20"/>
                <w:lang w:eastAsia="en-IN"/>
              </w:rPr>
              <w:t>0</w:t>
            </w:r>
          </w:p>
        </w:tc>
      </w:tr>
      <w:tr w:rsidR="00D3088C" w:rsidRPr="00D3088C" w:rsidTr="00D3088C">
        <w:trPr>
          <w:trHeight w:val="260"/>
        </w:trPr>
        <w:tc>
          <w:tcPr>
            <w:tcW w:w="36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3750"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c>
          <w:tcPr>
            <w:tcW w:w="809"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67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66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735"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90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49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color w:val="000000"/>
                <w:sz w:val="20"/>
                <w:szCs w:val="20"/>
                <w:lang w:eastAsia="en-IN"/>
              </w:rPr>
            </w:pPr>
          </w:p>
        </w:tc>
      </w:tr>
      <w:tr w:rsidR="00D3088C" w:rsidRPr="00D3088C" w:rsidTr="00D3088C">
        <w:trPr>
          <w:trHeight w:val="260"/>
        </w:trPr>
        <w:tc>
          <w:tcPr>
            <w:tcW w:w="36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c>
          <w:tcPr>
            <w:tcW w:w="3750" w:type="dxa"/>
            <w:vMerge w:val="restart"/>
            <w:tcBorders>
              <w:top w:val="nil"/>
              <w:left w:val="single" w:sz="4" w:space="0" w:color="auto"/>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 xml:space="preserve">TOTAL INFLOWS </w:t>
            </w:r>
          </w:p>
        </w:tc>
        <w:tc>
          <w:tcPr>
            <w:tcW w:w="8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155</w:t>
            </w:r>
          </w:p>
        </w:tc>
        <w:tc>
          <w:tcPr>
            <w:tcW w:w="6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5</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305</w:t>
            </w:r>
          </w:p>
        </w:tc>
        <w:tc>
          <w:tcPr>
            <w:tcW w:w="7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200</w:t>
            </w:r>
          </w:p>
        </w:tc>
        <w:tc>
          <w:tcPr>
            <w:tcW w:w="84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300</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665</w:t>
            </w:r>
          </w:p>
        </w:tc>
        <w:tc>
          <w:tcPr>
            <w:tcW w:w="49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1630</w:t>
            </w:r>
          </w:p>
        </w:tc>
      </w:tr>
      <w:tr w:rsidR="00D3088C" w:rsidRPr="00D3088C" w:rsidTr="00D3088C">
        <w:trPr>
          <w:trHeight w:val="260"/>
        </w:trPr>
        <w:tc>
          <w:tcPr>
            <w:tcW w:w="36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c>
          <w:tcPr>
            <w:tcW w:w="3750"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809"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67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66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735"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84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90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49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r>
      <w:tr w:rsidR="00D3088C" w:rsidRPr="00D3088C" w:rsidTr="00D3088C">
        <w:trPr>
          <w:trHeight w:val="260"/>
        </w:trPr>
        <w:tc>
          <w:tcPr>
            <w:tcW w:w="36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 xml:space="preserve">C </w:t>
            </w:r>
          </w:p>
        </w:tc>
        <w:tc>
          <w:tcPr>
            <w:tcW w:w="3750" w:type="dxa"/>
            <w:vMerge w:val="restart"/>
            <w:tcBorders>
              <w:top w:val="nil"/>
              <w:left w:val="single" w:sz="4" w:space="0" w:color="auto"/>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 xml:space="preserve">Mismatch (B-A) </w:t>
            </w:r>
          </w:p>
        </w:tc>
        <w:tc>
          <w:tcPr>
            <w:tcW w:w="8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5</w:t>
            </w:r>
          </w:p>
        </w:tc>
        <w:tc>
          <w:tcPr>
            <w:tcW w:w="6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-10</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105</w:t>
            </w:r>
          </w:p>
        </w:tc>
        <w:tc>
          <w:tcPr>
            <w:tcW w:w="7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50</w:t>
            </w:r>
          </w:p>
        </w:tc>
        <w:tc>
          <w:tcPr>
            <w:tcW w:w="84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150</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-120</w:t>
            </w:r>
          </w:p>
        </w:tc>
        <w:tc>
          <w:tcPr>
            <w:tcW w:w="49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180</w:t>
            </w:r>
          </w:p>
        </w:tc>
      </w:tr>
      <w:tr w:rsidR="00D3088C" w:rsidRPr="00D3088C" w:rsidTr="00D3088C">
        <w:trPr>
          <w:trHeight w:val="260"/>
        </w:trPr>
        <w:tc>
          <w:tcPr>
            <w:tcW w:w="36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3750"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809"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67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66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735"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84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90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49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r>
      <w:tr w:rsidR="00D3088C" w:rsidRPr="00D3088C" w:rsidTr="00D3088C">
        <w:trPr>
          <w:trHeight w:val="260"/>
        </w:trPr>
        <w:tc>
          <w:tcPr>
            <w:tcW w:w="36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 xml:space="preserve">D </w:t>
            </w:r>
          </w:p>
        </w:tc>
        <w:tc>
          <w:tcPr>
            <w:tcW w:w="3750" w:type="dxa"/>
            <w:vMerge w:val="restart"/>
            <w:tcBorders>
              <w:top w:val="nil"/>
              <w:left w:val="single" w:sz="4" w:space="0" w:color="auto"/>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 xml:space="preserve">Cumulative mismatches </w:t>
            </w:r>
          </w:p>
        </w:tc>
        <w:tc>
          <w:tcPr>
            <w:tcW w:w="8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5</w:t>
            </w:r>
          </w:p>
        </w:tc>
        <w:tc>
          <w:tcPr>
            <w:tcW w:w="6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-5</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100</w:t>
            </w:r>
          </w:p>
        </w:tc>
        <w:tc>
          <w:tcPr>
            <w:tcW w:w="7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150</w:t>
            </w: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 </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180</w:t>
            </w:r>
          </w:p>
        </w:tc>
        <w:tc>
          <w:tcPr>
            <w:tcW w:w="49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r>
      <w:tr w:rsidR="00D3088C" w:rsidRPr="00D3088C" w:rsidTr="00D3088C">
        <w:trPr>
          <w:trHeight w:val="260"/>
        </w:trPr>
        <w:tc>
          <w:tcPr>
            <w:tcW w:w="36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3750"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809"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67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66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735"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844" w:type="dxa"/>
            <w:tcBorders>
              <w:top w:val="nil"/>
              <w:left w:val="nil"/>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300</w:t>
            </w:r>
          </w:p>
        </w:tc>
        <w:tc>
          <w:tcPr>
            <w:tcW w:w="90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49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r>
      <w:tr w:rsidR="00D3088C" w:rsidRPr="00D3088C" w:rsidTr="00D3088C">
        <w:trPr>
          <w:trHeight w:val="260"/>
        </w:trPr>
        <w:tc>
          <w:tcPr>
            <w:tcW w:w="36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 xml:space="preserve">E </w:t>
            </w:r>
          </w:p>
        </w:tc>
        <w:tc>
          <w:tcPr>
            <w:tcW w:w="3750" w:type="dxa"/>
            <w:vMerge w:val="restart"/>
            <w:tcBorders>
              <w:top w:val="nil"/>
              <w:left w:val="single" w:sz="4" w:space="0" w:color="auto"/>
              <w:bottom w:val="single" w:sz="4" w:space="0" w:color="auto"/>
              <w:right w:val="single" w:sz="4" w:space="0" w:color="auto"/>
            </w:tcBorders>
            <w:shd w:val="clear" w:color="auto" w:fill="auto"/>
            <w:vAlign w:val="bottom"/>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 xml:space="preserve">C as a % to total outflow </w:t>
            </w:r>
          </w:p>
        </w:tc>
        <w:tc>
          <w:tcPr>
            <w:tcW w:w="8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3.33</w:t>
            </w:r>
          </w:p>
        </w:tc>
        <w:tc>
          <w:tcPr>
            <w:tcW w:w="6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-33.33</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50.00</w:t>
            </w:r>
          </w:p>
        </w:tc>
        <w:tc>
          <w:tcPr>
            <w:tcW w:w="7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100.00</w:t>
            </w:r>
          </w:p>
        </w:tc>
        <w:tc>
          <w:tcPr>
            <w:tcW w:w="84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200.00</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jc w:val="right"/>
              <w:rPr>
                <w:rFonts w:ascii="Helvetica" w:eastAsia="Times New Roman" w:hAnsi="Helvetica" w:cs="Calibri"/>
                <w:b/>
                <w:bCs/>
                <w:color w:val="000000"/>
                <w:sz w:val="20"/>
                <w:szCs w:val="20"/>
                <w:lang w:eastAsia="en-IN"/>
              </w:rPr>
            </w:pPr>
            <w:r w:rsidRPr="00D3088C">
              <w:rPr>
                <w:rFonts w:ascii="Helvetica" w:eastAsia="Times New Roman" w:hAnsi="Helvetica" w:cs="Calibri"/>
                <w:b/>
                <w:bCs/>
                <w:color w:val="000000"/>
                <w:sz w:val="20"/>
                <w:szCs w:val="20"/>
                <w:lang w:eastAsia="en-IN"/>
              </w:rPr>
              <w:t>22.93</w:t>
            </w:r>
          </w:p>
        </w:tc>
        <w:tc>
          <w:tcPr>
            <w:tcW w:w="49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r w:rsidRPr="00D3088C">
              <w:rPr>
                <w:rFonts w:ascii="Calibri" w:eastAsia="Times New Roman" w:hAnsi="Calibri" w:cs="Calibri"/>
                <w:color w:val="000000"/>
                <w:sz w:val="20"/>
                <w:szCs w:val="20"/>
                <w:lang w:eastAsia="en-IN"/>
              </w:rPr>
              <w:t> </w:t>
            </w:r>
          </w:p>
        </w:tc>
      </w:tr>
      <w:tr w:rsidR="00D3088C" w:rsidRPr="00D3088C" w:rsidTr="00D3088C">
        <w:trPr>
          <w:trHeight w:val="260"/>
        </w:trPr>
        <w:tc>
          <w:tcPr>
            <w:tcW w:w="36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3750"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809"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67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66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735"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844"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908"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Helvetica" w:eastAsia="Times New Roman" w:hAnsi="Helvetica" w:cs="Calibri"/>
                <w:b/>
                <w:bCs/>
                <w:color w:val="000000"/>
                <w:sz w:val="20"/>
                <w:szCs w:val="20"/>
                <w:lang w:eastAsia="en-IN"/>
              </w:rPr>
            </w:pPr>
          </w:p>
        </w:tc>
        <w:tc>
          <w:tcPr>
            <w:tcW w:w="491" w:type="dxa"/>
            <w:vMerge/>
            <w:tcBorders>
              <w:top w:val="nil"/>
              <w:left w:val="single" w:sz="4" w:space="0" w:color="auto"/>
              <w:bottom w:val="single" w:sz="4" w:space="0" w:color="auto"/>
              <w:right w:val="single" w:sz="4" w:space="0" w:color="auto"/>
            </w:tcBorders>
            <w:vAlign w:val="center"/>
            <w:hideMark/>
          </w:tcPr>
          <w:p w:rsidR="00D3088C" w:rsidRPr="00D3088C" w:rsidRDefault="00D3088C" w:rsidP="00D3088C">
            <w:pPr>
              <w:spacing w:after="0" w:line="240" w:lineRule="auto"/>
              <w:rPr>
                <w:rFonts w:ascii="Calibri" w:eastAsia="Times New Roman" w:hAnsi="Calibri" w:cs="Calibri"/>
                <w:color w:val="000000"/>
                <w:sz w:val="20"/>
                <w:szCs w:val="20"/>
                <w:lang w:eastAsia="en-IN"/>
              </w:rPr>
            </w:pPr>
          </w:p>
        </w:tc>
      </w:tr>
    </w:tbl>
    <w:p w:rsidR="00D3088C" w:rsidRDefault="00D3088C" w:rsidP="003B2694">
      <w:pPr>
        <w:pStyle w:val="NoSpacing"/>
      </w:pPr>
    </w:p>
    <w:sectPr w:rsidR="00D3088C" w:rsidSect="00097C38">
      <w:pgSz w:w="11906" w:h="16838"/>
      <w:pgMar w:top="810" w:right="1440" w:bottom="14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0F"/>
    <w:rsid w:val="0005250F"/>
    <w:rsid w:val="00097C38"/>
    <w:rsid w:val="002273BF"/>
    <w:rsid w:val="00361D37"/>
    <w:rsid w:val="003A09F5"/>
    <w:rsid w:val="003A31B2"/>
    <w:rsid w:val="003B2694"/>
    <w:rsid w:val="004530C2"/>
    <w:rsid w:val="00467CDB"/>
    <w:rsid w:val="00496D65"/>
    <w:rsid w:val="004E23A1"/>
    <w:rsid w:val="00511E39"/>
    <w:rsid w:val="00531E1A"/>
    <w:rsid w:val="006B320F"/>
    <w:rsid w:val="006B676E"/>
    <w:rsid w:val="00715A16"/>
    <w:rsid w:val="00775645"/>
    <w:rsid w:val="007844F6"/>
    <w:rsid w:val="007946EE"/>
    <w:rsid w:val="008F4EED"/>
    <w:rsid w:val="00947758"/>
    <w:rsid w:val="009B5024"/>
    <w:rsid w:val="009F0882"/>
    <w:rsid w:val="00A2304F"/>
    <w:rsid w:val="00A45779"/>
    <w:rsid w:val="00AA171E"/>
    <w:rsid w:val="00B17439"/>
    <w:rsid w:val="00B30137"/>
    <w:rsid w:val="00B410CA"/>
    <w:rsid w:val="00BC1ACB"/>
    <w:rsid w:val="00BF4275"/>
    <w:rsid w:val="00C13D70"/>
    <w:rsid w:val="00C81563"/>
    <w:rsid w:val="00D3088C"/>
    <w:rsid w:val="00D729C5"/>
    <w:rsid w:val="00E01CC0"/>
    <w:rsid w:val="00E2702C"/>
    <w:rsid w:val="00E91EA8"/>
    <w:rsid w:val="00F26EA0"/>
    <w:rsid w:val="00F6604E"/>
    <w:rsid w:val="00F6687D"/>
    <w:rsid w:val="00FA21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4CF0"/>
  <w15:chartTrackingRefBased/>
  <w15:docId w15:val="{24B96226-0EF4-480D-8E86-8DBCBD9F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3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2694"/>
    <w:pPr>
      <w:spacing w:after="0" w:line="240" w:lineRule="auto"/>
    </w:pPr>
  </w:style>
  <w:style w:type="paragraph" w:customStyle="1" w:styleId="Default">
    <w:name w:val="Default"/>
    <w:rsid w:val="003A31B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3A31B2"/>
    <w:pPr>
      <w:spacing w:line="211" w:lineRule="atLeast"/>
    </w:pPr>
    <w:rPr>
      <w:color w:val="auto"/>
    </w:rPr>
  </w:style>
  <w:style w:type="paragraph" w:customStyle="1" w:styleId="Pa48">
    <w:name w:val="Pa48"/>
    <w:basedOn w:val="Default"/>
    <w:next w:val="Default"/>
    <w:uiPriority w:val="99"/>
    <w:rsid w:val="00E01CC0"/>
    <w:pPr>
      <w:spacing w:line="211" w:lineRule="atLeast"/>
    </w:pPr>
    <w:rPr>
      <w:color w:val="auto"/>
    </w:rPr>
  </w:style>
  <w:style w:type="character" w:customStyle="1" w:styleId="A15">
    <w:name w:val="A15"/>
    <w:uiPriority w:val="99"/>
    <w:rsid w:val="00E01CC0"/>
    <w:rPr>
      <w:color w:val="000000"/>
      <w:sz w:val="12"/>
      <w:szCs w:val="12"/>
    </w:rPr>
  </w:style>
  <w:style w:type="paragraph" w:styleId="BalloonText">
    <w:name w:val="Balloon Text"/>
    <w:basedOn w:val="Normal"/>
    <w:link w:val="BalloonTextChar"/>
    <w:uiPriority w:val="99"/>
    <w:semiHidden/>
    <w:unhideWhenUsed/>
    <w:rsid w:val="00B17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439"/>
    <w:rPr>
      <w:rFonts w:ascii="Segoe UI" w:hAnsi="Segoe UI" w:cs="Segoe UI"/>
      <w:sz w:val="18"/>
      <w:szCs w:val="18"/>
    </w:rPr>
  </w:style>
  <w:style w:type="paragraph" w:styleId="NormalWeb">
    <w:name w:val="Normal (Web)"/>
    <w:basedOn w:val="Normal"/>
    <w:uiPriority w:val="99"/>
    <w:semiHidden/>
    <w:unhideWhenUsed/>
    <w:rsid w:val="00B17439"/>
    <w:pPr>
      <w:spacing w:before="100" w:beforeAutospacing="1" w:after="100" w:afterAutospacing="1" w:line="240" w:lineRule="auto"/>
    </w:pPr>
    <w:rPr>
      <w:rFonts w:ascii="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83325">
      <w:bodyDiv w:val="1"/>
      <w:marLeft w:val="0"/>
      <w:marRight w:val="0"/>
      <w:marTop w:val="0"/>
      <w:marBottom w:val="0"/>
      <w:divBdr>
        <w:top w:val="none" w:sz="0" w:space="0" w:color="auto"/>
        <w:left w:val="none" w:sz="0" w:space="0" w:color="auto"/>
        <w:bottom w:val="none" w:sz="0" w:space="0" w:color="auto"/>
        <w:right w:val="none" w:sz="0" w:space="0" w:color="auto"/>
      </w:divBdr>
    </w:div>
    <w:div w:id="253632619">
      <w:bodyDiv w:val="1"/>
      <w:marLeft w:val="0"/>
      <w:marRight w:val="0"/>
      <w:marTop w:val="0"/>
      <w:marBottom w:val="0"/>
      <w:divBdr>
        <w:top w:val="none" w:sz="0" w:space="0" w:color="auto"/>
        <w:left w:val="none" w:sz="0" w:space="0" w:color="auto"/>
        <w:bottom w:val="none" w:sz="0" w:space="0" w:color="auto"/>
        <w:right w:val="none" w:sz="0" w:space="0" w:color="auto"/>
      </w:divBdr>
    </w:div>
    <w:div w:id="794182400">
      <w:bodyDiv w:val="1"/>
      <w:marLeft w:val="0"/>
      <w:marRight w:val="0"/>
      <w:marTop w:val="0"/>
      <w:marBottom w:val="0"/>
      <w:divBdr>
        <w:top w:val="none" w:sz="0" w:space="0" w:color="auto"/>
        <w:left w:val="none" w:sz="0" w:space="0" w:color="auto"/>
        <w:bottom w:val="none" w:sz="0" w:space="0" w:color="auto"/>
        <w:right w:val="none" w:sz="0" w:space="0" w:color="auto"/>
      </w:divBdr>
    </w:div>
    <w:div w:id="893736774">
      <w:bodyDiv w:val="1"/>
      <w:marLeft w:val="0"/>
      <w:marRight w:val="0"/>
      <w:marTop w:val="0"/>
      <w:marBottom w:val="0"/>
      <w:divBdr>
        <w:top w:val="none" w:sz="0" w:space="0" w:color="auto"/>
        <w:left w:val="none" w:sz="0" w:space="0" w:color="auto"/>
        <w:bottom w:val="none" w:sz="0" w:space="0" w:color="auto"/>
        <w:right w:val="none" w:sz="0" w:space="0" w:color="auto"/>
      </w:divBdr>
    </w:div>
    <w:div w:id="1926766494">
      <w:bodyDiv w:val="1"/>
      <w:marLeft w:val="0"/>
      <w:marRight w:val="0"/>
      <w:marTop w:val="0"/>
      <w:marBottom w:val="0"/>
      <w:divBdr>
        <w:top w:val="none" w:sz="0" w:space="0" w:color="auto"/>
        <w:left w:val="none" w:sz="0" w:space="0" w:color="auto"/>
        <w:bottom w:val="none" w:sz="0" w:space="0" w:color="auto"/>
        <w:right w:val="none" w:sz="0" w:space="0" w:color="auto"/>
      </w:divBdr>
    </w:div>
    <w:div w:id="20322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8</Pages>
  <Words>2248</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 P</dc:creator>
  <cp:keywords/>
  <dc:description/>
  <cp:lastModifiedBy>soumya P</cp:lastModifiedBy>
  <cp:revision>20</cp:revision>
  <dcterms:created xsi:type="dcterms:W3CDTF">2023-03-31T10:43:00Z</dcterms:created>
  <dcterms:modified xsi:type="dcterms:W3CDTF">2023-06-06T13:09:00Z</dcterms:modified>
</cp:coreProperties>
</file>